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png" ContentType="image/png"/>
  <Override PartName="/word/header3.xml" ContentType="application/vnd.openxmlformats-officedocument.wordprocessingml.header+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fonts/font28.odttf" ContentType="application/vnd.openxmlformats-officedocument.obfuscatedFont"/>
  <Override PartName="/word/fonts/font29.odttf" ContentType="application/vnd.openxmlformats-officedocument.obfuscatedFont"/>
  <Override PartName="/word/fonts/font30.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header2.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_rels/item1.xml.rels" ContentType="application/vnd.openxmlformats-package.relationships+xml"/>
  <Override PartName="/customXml/_rels/item2.xml.rels" ContentType="application/vnd.openxmlformats-package.relationships+xml"/>
  <Override PartName="/customXml/itemProps2.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pBdr/>
        <w:spacing w:lineRule="auto" w:line="276"/>
        <w:jc w:val="center"/>
        <w:rPr>
          <w:lang w:val="pt-BR"/>
        </w:rPr>
      </w:pPr>
      <w:r>
        <w:rPr>
          <w:rFonts w:eastAsia="Times New Roman" w:cs="Times New Roman" w:ascii="Times New Roman" w:hAnsi="Times New Roman"/>
          <w:b/>
          <w:bCs/>
          <w:color w:val="000000"/>
          <w:sz w:val="24"/>
          <w:szCs w:val="24"/>
          <w:lang w:val="pt-BR"/>
        </w:rPr>
        <w:t xml:space="preserve"> </w:t>
      </w:r>
    </w:p>
    <w:p>
      <w:pPr>
        <w:pStyle w:val="Normal"/>
        <w:pBdr/>
        <w:spacing w:lineRule="auto" w:line="276"/>
        <w:jc w:val="center"/>
        <w:rPr>
          <w:lang w:val="pt-BR"/>
        </w:rPr>
      </w:pPr>
      <w:r>
        <w:rPr>
          <w:rFonts w:eastAsia="Times New Roman" w:cs="Times New Roman" w:ascii="Times New Roman" w:hAnsi="Times New Roman"/>
          <w:b/>
          <w:bCs/>
          <w:color w:val="000000"/>
          <w:sz w:val="24"/>
          <w:szCs w:val="24"/>
          <w:lang w:val="pt-BR"/>
        </w:rPr>
        <w:t>ESTUDO TÉCNICO PRELIMINAR</w:t>
      </w:r>
    </w:p>
    <w:p>
      <w:pPr>
        <w:pStyle w:val="Normal"/>
        <w:pBdr/>
        <w:spacing w:lineRule="auto" w:line="276"/>
        <w:jc w:val="both"/>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jc w:val="both"/>
        <w:rPr>
          <w:lang w:val="pt-BR"/>
        </w:rPr>
      </w:pPr>
      <w:r>
        <w:rPr>
          <w:rFonts w:eastAsia="Times New Roman" w:cs="Times New Roman" w:ascii="Times New Roman" w:hAnsi="Times New Roman"/>
          <w:b/>
          <w:bCs/>
          <w:color w:val="000000"/>
          <w:sz w:val="24"/>
          <w:szCs w:val="24"/>
          <w:lang w:val="pt-BR"/>
        </w:rPr>
        <w:t>Processo:</w:t>
      </w:r>
      <w:r>
        <w:rPr>
          <w:rFonts w:eastAsia="Times New Roman" w:cs="Times New Roman" w:ascii="Times New Roman" w:hAnsi="Times New Roman"/>
          <w:color w:val="000000"/>
          <w:sz w:val="24"/>
          <w:szCs w:val="24"/>
          <w:lang w:val="pt-BR"/>
        </w:rPr>
        <w:t xml:space="preserve"> </w:t>
      </w:r>
      <w:r>
        <w:rPr>
          <w:rFonts w:eastAsia="Times New Roman" w:cs="Times New Roman" w:ascii="Times New Roman" w:hAnsi="Times New Roman"/>
          <w:b/>
          <w:bCs/>
          <w:color w:val="000000"/>
          <w:sz w:val="24"/>
          <w:szCs w:val="24"/>
          <w:lang w:val="pt-BR"/>
        </w:rPr>
        <w:t>20456/2025</w:t>
      </w:r>
    </w:p>
    <w:p>
      <w:pPr>
        <w:pStyle w:val="Normal"/>
        <w:pBdr/>
        <w:spacing w:lineRule="auto" w:line="276" w:before="0" w:after="0"/>
        <w:jc w:val="both"/>
        <w:rPr>
          <w:lang w:val="pt-BR"/>
        </w:rPr>
      </w:pPr>
      <w:r>
        <w:rPr>
          <w:rFonts w:eastAsia="Times New Roman" w:cs="Times New Roman" w:ascii="Times New Roman" w:hAnsi="Times New Roman"/>
          <w:b/>
          <w:bCs/>
          <w:color w:val="000000"/>
          <w:sz w:val="24"/>
          <w:szCs w:val="24"/>
          <w:lang w:val="pt-BR"/>
        </w:rPr>
        <w:t>Interessado:</w:t>
      </w:r>
      <w:r>
        <w:rPr>
          <w:rFonts w:eastAsia="Times New Roman" w:cs="Times New Roman" w:ascii="Times New Roman" w:hAnsi="Times New Roman"/>
          <w:color w:val="000000"/>
          <w:sz w:val="24"/>
          <w:szCs w:val="24"/>
          <w:lang w:val="pt-BR"/>
        </w:rPr>
        <w:t xml:space="preserve"> Secretaria Municipal de Infraestrutura. </w:t>
      </w:r>
    </w:p>
    <w:p>
      <w:pPr>
        <w:pStyle w:val="Normal"/>
        <w:pBdr/>
        <w:spacing w:lineRule="auto" w:line="276" w:before="0" w:after="0"/>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jc w:val="both"/>
        <w:rPr>
          <w:lang w:val="pt-BR"/>
        </w:rPr>
      </w:pPr>
      <w:r>
        <w:rPr>
          <w:rFonts w:eastAsia="Times New Roman" w:cs="Times New Roman" w:ascii="Times New Roman" w:hAnsi="Times New Roman"/>
          <w:b/>
          <w:bCs/>
          <w:color w:val="000000"/>
          <w:sz w:val="24"/>
          <w:szCs w:val="24"/>
          <w:lang w:val="pt-BR"/>
        </w:rPr>
        <w:t>OBJETO: OBRAS E SERVIÇOS DE CONSTRUÇÃO POR DEMANDA DE CAMPOS POLIESPORTIVOS EM SAIBRO EM LOCALIDADES DIVERSAS DO MUNICÍPIO DE ARAPIRACA/AL.</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INTRODUÇÃO</w:t>
      </w:r>
      <w:r>
        <w:rPr>
          <w:rFonts w:eastAsia="Times New Roman" w:cs="Times New Roman" w:ascii="Times New Roman" w:hAnsi="Times New Roman"/>
          <w:color w:val="000000"/>
          <w:sz w:val="24"/>
          <w:szCs w:val="24"/>
          <w:lang w:val="pt-BR"/>
        </w:rPr>
        <w:tab/>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O presente documento caracteriza a primeira etapa da fase de planejamento e apresenta os devidos estudos para a contratação de solução que atenderá à necessidade abaixo especificada. O objetivo principal é estudar detalhadamente a necessidade e identificar a melhor solução para supri-la no mercado, em observância às normas vigentes e aos princípios que regem a Administração Pública. </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OBJETO DO ESTUDO E ESPECIFICAÇÕES GERAIS</w:t>
      </w:r>
    </w:p>
    <w:p>
      <w:pPr>
        <w:pStyle w:val="Normal"/>
        <w:pBdr/>
        <w:spacing w:lineRule="auto" w:line="276" w:before="0" w:after="0"/>
        <w:ind w:firstLine="720"/>
        <w:jc w:val="both"/>
        <w:rPr>
          <w:lang w:val="pt-BR"/>
        </w:rPr>
      </w:pPr>
      <w:r>
        <w:rPr>
          <w:rFonts w:eastAsia="Times New Roman" w:cs="Times New Roman" w:ascii="Times New Roman" w:hAnsi="Times New Roman"/>
          <w:color w:val="000000"/>
          <w:sz w:val="24"/>
          <w:szCs w:val="24"/>
          <w:lang w:val="pt-BR"/>
        </w:rPr>
        <w:t xml:space="preserve"> </w:t>
      </w:r>
      <w:r>
        <w:rPr>
          <w:rFonts w:eastAsia="Times New Roman" w:cs="Times New Roman" w:ascii="Times New Roman" w:hAnsi="Times New Roman"/>
          <w:color w:val="000000"/>
          <w:sz w:val="24"/>
          <w:szCs w:val="24"/>
          <w:lang w:val="pt-BR"/>
        </w:rPr>
        <w:t>A contratação destina-se à execução de serviços de construção por demanda de campos poliesportivos em saibro em localidades diversas, conforme projetos básicos a serem elaborados e aprovados para cada demanda específica, a serem executados no Município de Arapiraca/AL.</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 concepção da presente contratação fundamenta-se na necessidade contínua do município de manter, recuperar e implantar espaços públicos de lazer, convivência, esporte e recreação, assegurando qualidade urbanística, acessibilidade, segurança e conforto à população.</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As soluções técnicas adotadas deverão atender às normas técnicas da ABNT, legislações urbanísticas, ambientais e de acessibilidade vigentes, bem como às diretrizes municipais aplicáveis.</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LOCALIZAÇÃO DA EXECUÇÃO DO OBJETO CONTRATUAL</w:t>
      </w:r>
    </w:p>
    <w:p>
      <w:pPr>
        <w:pStyle w:val="Normal"/>
        <w:pBdr/>
        <w:spacing w:lineRule="auto" w:line="276" w:before="0" w:after="0"/>
        <w:ind w:firstLine="720"/>
        <w:jc w:val="both"/>
        <w:rPr>
          <w:lang w:val="pt-BR"/>
        </w:rPr>
      </w:pPr>
      <w:r>
        <w:rPr>
          <w:rFonts w:eastAsia="Times New Roman" w:cs="Times New Roman" w:ascii="Times New Roman" w:hAnsi="Times New Roman"/>
          <w:color w:val="000000"/>
          <w:sz w:val="24"/>
          <w:szCs w:val="24"/>
          <w:lang w:val="pt-BR"/>
        </w:rPr>
        <w:t>A execução do objeto contratual, referente à contratação de empresa de engenharia para prestação de serviços de construção por demanda de campos poliesportivos em saibro em localidades diversas, ocorrerá de forma parcelada, conforme a necessidade da administração e a disponibilidade orçamentária e financeira.</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As intervenções serão realizadas em diversas localidades do Município de Arapiraca/AL, exclusivamente em áreas públicas, a serem definidas posteriormente por meio de ordens de serviço, não sendo possível sua individualização prévia em razão da adoção do Sistema de Registro de Preços.</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Todos os serviços deverão ser executados dentro dos limites territoriais do Município de Arapiraca/AL, observadas as normas técnicas, urbanísticas, ambientais e de acessibilidade vigentes.</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NATUREZA E FINALIDADE DO OBJETO CONTRATUAL</w:t>
      </w:r>
    </w:p>
    <w:p>
      <w:pPr>
        <w:pStyle w:val="Normal"/>
        <w:pBdr/>
        <w:spacing w:lineRule="auto" w:line="276" w:before="0" w:after="0"/>
        <w:ind w:firstLine="720"/>
        <w:jc w:val="both"/>
        <w:rPr>
          <w:lang w:val="pt-BR"/>
        </w:rPr>
      </w:pPr>
      <w:r>
        <w:rPr>
          <w:rFonts w:eastAsia="Times New Roman" w:cs="Times New Roman" w:ascii="Times New Roman" w:hAnsi="Times New Roman"/>
          <w:color w:val="000000"/>
          <w:sz w:val="24"/>
          <w:szCs w:val="24"/>
          <w:lang w:val="pt-BR"/>
        </w:rPr>
        <w:t xml:space="preserve">O objeto em questão é caracterizado como serviço comum de engenharia visto que: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I) os serviços a serem executados apresentam baixo grau de complexidade técnica;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II) são executadas corriqueiramente pela administração;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III) os métodos construtivos, equipamentos e materiais utilizados para sua feitura são frequentemente empregados;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IV) os padrões de desempenho e qualidade são aferidos através de especificações técnicas usuais (entre estas se destaca as elaboradas pela ABNT);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V) existem diversas empresas aptas a se habilitarem no certame licitatório.</w:t>
      </w:r>
    </w:p>
    <w:p>
      <w:pPr>
        <w:pStyle w:val="Normal"/>
        <w:pBdr/>
        <w:tabs>
          <w:tab w:val="clear" w:pos="720"/>
          <w:tab w:val="left" w:pos="4500" w:leader="none"/>
        </w:tabs>
        <w:spacing w:lineRule="auto" w:line="276" w:before="0" w:after="0"/>
        <w:ind w:firstLine="851"/>
        <w:jc w:val="both"/>
        <w:rPr>
          <w:rFonts w:ascii="Times New Roman" w:hAnsi="Times New Roman" w:eastAsia="Times New Roman" w:cs="Times New Roman"/>
          <w:color w:val="000000"/>
          <w:sz w:val="24"/>
          <w:szCs w:val="24"/>
          <w:highlight w:val="yellow"/>
          <w:lang w:val="pt-BR"/>
        </w:rPr>
      </w:pPr>
      <w:r>
        <w:rPr>
          <w:rFonts w:eastAsia="Times New Roman" w:cs="Times New Roman" w:ascii="Times New Roman" w:hAnsi="Times New Roman"/>
          <w:color w:val="000000"/>
          <w:sz w:val="24"/>
          <w:szCs w:val="24"/>
          <w:highlight w:val="yellow"/>
          <w:lang w:val="pt-BR"/>
        </w:rPr>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CLASSIFICAÇÃO QUANTO AO SIGILO DESTE DOCUMENTO</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As informações contidas no presente estudo poderão estar disponíveis para qualquer interessado, pois não se caracterizam como sigilosas na forma da Lei nº 12.527/2011.</w:t>
      </w:r>
    </w:p>
    <w:p>
      <w:pPr>
        <w:pStyle w:val="Normal"/>
        <w:numPr>
          <w:ilvl w:val="0"/>
          <w:numId w:val="1"/>
        </w:numPr>
        <w:pBdr/>
        <w:shd w:val="clear" w:color="auto" w:fill="D9E2F3"/>
        <w:spacing w:lineRule="auto" w:line="276"/>
        <w:ind w:firstLine="851" w:left="0"/>
        <w:jc w:val="both"/>
        <w:rPr>
          <w:lang w:val="pt-BR"/>
        </w:rPr>
      </w:pPr>
      <w:r>
        <w:rPr>
          <w:rFonts w:eastAsia="Times New Roman" w:cs="Times New Roman" w:ascii="Times New Roman" w:hAnsi="Times New Roman"/>
          <w:b/>
          <w:bCs/>
          <w:color w:val="000000"/>
          <w:sz w:val="24"/>
          <w:szCs w:val="24"/>
          <w:lang w:val="pt-BR"/>
        </w:rPr>
        <w:t>DESCRIÇÃO DA NECESSIDADE DA CONTRATAÇÃO</w:t>
      </w:r>
    </w:p>
    <w:p>
      <w:pPr>
        <w:pStyle w:val="Normal"/>
        <w:numPr>
          <w:ilvl w:val="1"/>
          <w:numId w:val="1"/>
        </w:numPr>
        <w:pBdr/>
        <w:spacing w:lineRule="auto" w:line="276" w:before="120" w:after="120"/>
        <w:ind w:firstLine="272"/>
        <w:jc w:val="both"/>
        <w:rPr>
          <w:lang w:val="pt-BR"/>
        </w:rPr>
      </w:pPr>
      <w:r>
        <w:rPr>
          <w:rFonts w:eastAsia="Times New Roman" w:cs="Times New Roman" w:ascii="Times New Roman" w:hAnsi="Times New Roman"/>
          <w:color w:val="000000"/>
          <w:sz w:val="24"/>
          <w:szCs w:val="24"/>
          <w:lang w:val="pt-BR"/>
        </w:rPr>
        <w:t xml:space="preserve">A necessidade de realização do objeto </w:t>
      </w:r>
      <w:r>
        <w:rPr>
          <w:rFonts w:eastAsia="Times New Roman" w:cs="Times New Roman" w:ascii="Times New Roman" w:hAnsi="Times New Roman"/>
          <w:b/>
          <w:bCs/>
          <w:color w:val="000000"/>
          <w:sz w:val="24"/>
          <w:szCs w:val="24"/>
          <w:lang w:val="pt-BR"/>
        </w:rPr>
        <w:t>Obras e Serviços de Construção por Demanda de Campos Poliesportivos em Saibro em Localidades Diversas do Município de Arapiraca/AL</w:t>
      </w:r>
      <w:r>
        <w:rPr>
          <w:rFonts w:eastAsia="Times New Roman" w:cs="Times New Roman" w:ascii="Times New Roman" w:hAnsi="Times New Roman"/>
          <w:color w:val="000000"/>
          <w:sz w:val="24"/>
          <w:szCs w:val="24"/>
          <w:lang w:val="pt-BR"/>
        </w:rPr>
        <w:t>, levando em consideração os motivos que a justificam abaixo relacionados:</w:t>
      </w:r>
      <w:r>
        <w:rPr>
          <w:rFonts w:eastAsia="Times New Roman" w:cs="Times New Roman" w:ascii="Times New Roman" w:hAnsi="Times New Roman"/>
          <w:color w:val="000000"/>
          <w:sz w:val="24"/>
          <w:szCs w:val="24"/>
          <w:highlight w:val="white"/>
          <w:lang w:val="pt-BR"/>
        </w:rPr>
        <w:t xml:space="preserve"> Esta demanda surge da necessidade premente de promover o acesso à prática esportiva e lazer para a população local, contribuindo para a melhoria da qualidade de vida dos cidadãos, levando em consideração os motivos que a justificam abaixo relacionados:</w:t>
      </w:r>
    </w:p>
    <w:p>
      <w:pPr>
        <w:pStyle w:val="Normal"/>
        <w:numPr>
          <w:ilvl w:val="1"/>
          <w:numId w:val="1"/>
        </w:numPr>
        <w:pBdr/>
        <w:spacing w:lineRule="auto" w:line="276" w:before="120" w:after="120"/>
        <w:ind w:firstLine="272"/>
        <w:jc w:val="both"/>
        <w:rPr>
          <w:lang w:val="pt-BR"/>
        </w:rPr>
      </w:pPr>
      <w:r>
        <w:rPr>
          <w:rFonts w:eastAsia="Times New Roman" w:cs="Times New Roman" w:ascii="Times New Roman" w:hAnsi="Times New Roman"/>
          <w:color w:val="000000"/>
          <w:sz w:val="24"/>
          <w:szCs w:val="24"/>
          <w:highlight w:val="white"/>
          <w:lang w:val="pt-BR"/>
        </w:rPr>
        <w:t xml:space="preserve">A prática de </w:t>
      </w:r>
      <w:r>
        <w:rPr>
          <w:rFonts w:eastAsia="Times New Roman" w:cs="Times New Roman" w:ascii="Times New Roman" w:hAnsi="Times New Roman"/>
          <w:color w:val="000000"/>
          <w:sz w:val="24"/>
          <w:szCs w:val="24"/>
          <w:lang w:val="pt-BR"/>
        </w:rPr>
        <w:t>atividades</w:t>
      </w:r>
      <w:r>
        <w:rPr>
          <w:rFonts w:eastAsia="Times New Roman" w:cs="Times New Roman" w:ascii="Times New Roman" w:hAnsi="Times New Roman"/>
          <w:color w:val="000000"/>
          <w:sz w:val="24"/>
          <w:szCs w:val="24"/>
          <w:highlight w:val="white"/>
          <w:lang w:val="pt-BR"/>
        </w:rPr>
        <w:t xml:space="preserve"> esportivas é essencial para a promoção da saúde, bem-estar e desenvolvimento social da população. O município de Arapiraca/AL possui uma demanda crescente por espaços adequados que incentivem a prática de esportes, especialmente entre crianças e jovens. A construção por demanda de campos poliesportivos em        saibro visa atender essa necessidade, promovendo o esporte, a inclusão social e a formação de cidadãos mais saudáveis.</w:t>
      </w:r>
    </w:p>
    <w:p>
      <w:pPr>
        <w:pStyle w:val="Normal"/>
        <w:numPr>
          <w:ilvl w:val="1"/>
          <w:numId w:val="1"/>
        </w:numPr>
        <w:pBdr/>
        <w:spacing w:lineRule="auto" w:line="276" w:before="120" w:after="120"/>
        <w:ind w:firstLine="272"/>
        <w:jc w:val="both"/>
        <w:rPr>
          <w:lang w:val="pt-BR"/>
        </w:rPr>
      </w:pPr>
      <w:r>
        <w:rPr>
          <w:rFonts w:eastAsia="Times New Roman" w:cs="Times New Roman" w:ascii="Times New Roman" w:hAnsi="Times New Roman"/>
          <w:color w:val="000000"/>
          <w:sz w:val="24"/>
          <w:szCs w:val="24"/>
          <w:highlight w:val="white"/>
          <w:lang w:val="pt-BR"/>
        </w:rPr>
        <w:t>Com a construção desses campos, buscamos garantir que todas as comunidades tenham acesso a atividades esportivas, desenvolvendo tanto a parte física quanto a social dos indivíduos, proporcionando infraestruturas adequadas para a prática de esportes.</w:t>
      </w:r>
    </w:p>
    <w:p>
      <w:pPr>
        <w:pStyle w:val="Normal"/>
        <w:numPr>
          <w:ilvl w:val="1"/>
          <w:numId w:val="1"/>
        </w:numPr>
        <w:pBdr/>
        <w:spacing w:lineRule="auto" w:line="276" w:before="120" w:after="120"/>
        <w:ind w:firstLine="272"/>
        <w:jc w:val="both"/>
        <w:rPr>
          <w:lang w:val="pt-BR"/>
        </w:rPr>
      </w:pPr>
      <w:r>
        <w:rPr>
          <w:rFonts w:eastAsia="Times New Roman" w:cs="Times New Roman" w:ascii="Times New Roman" w:hAnsi="Times New Roman"/>
          <w:color w:val="000000"/>
          <w:sz w:val="24"/>
          <w:szCs w:val="24"/>
          <w:highlight w:val="white"/>
          <w:lang w:val="pt-BR"/>
        </w:rPr>
        <w:t>A falta de áreas esportivas apropriadas tem sido um obstáculo para a prática regular de atividades esportivas na cidade. Os atuais espaços disponíveis são insuficientes para atender à demanda da população local, resultando na desmotivação dos jovens e na redução das atividades físicas. Esta contratação se justifica, portanto, pela urgente necessidade de criar ambientes que estimulem o lazer ativo e promovam a convivência comunitária.</w:t>
      </w:r>
    </w:p>
    <w:p>
      <w:pPr>
        <w:pStyle w:val="Normal"/>
        <w:numPr>
          <w:ilvl w:val="1"/>
          <w:numId w:val="1"/>
        </w:numPr>
        <w:pBdr/>
        <w:spacing w:lineRule="auto" w:line="276" w:before="120" w:after="120"/>
        <w:ind w:firstLine="272"/>
        <w:jc w:val="both"/>
        <w:rPr>
          <w:lang w:val="pt-BR"/>
        </w:rPr>
      </w:pPr>
      <w:r>
        <w:rPr>
          <w:rFonts w:eastAsia="Times New Roman" w:cs="Times New Roman" w:ascii="Times New Roman" w:hAnsi="Times New Roman"/>
          <w:color w:val="000000"/>
          <w:sz w:val="24"/>
          <w:szCs w:val="24"/>
          <w:highlight w:val="white"/>
          <w:lang w:val="pt-BR"/>
        </w:rPr>
        <w:t>Oferecer estrutura adequada onde os moradores das localidades possam praticar diversas atividades físicas, além de proporcionar um ambiente seguro e acolhedor para as crianças, jovens e adultos se exercitarem e socializarem. Estes campos poliesportivos também contribuirão para a inclusão social, pois favorecerão a interação entre diferentes faixas etárias e grupos sociais.</w:t>
      </w:r>
    </w:p>
    <w:p>
      <w:pPr>
        <w:pStyle w:val="Normal"/>
        <w:numPr>
          <w:ilvl w:val="1"/>
          <w:numId w:val="1"/>
        </w:numPr>
        <w:pBdr/>
        <w:spacing w:lineRule="auto" w:line="276" w:before="120" w:after="120"/>
        <w:ind w:firstLine="272"/>
        <w:jc w:val="both"/>
        <w:rPr>
          <w:lang w:val="pt-BR"/>
        </w:rPr>
      </w:pPr>
      <w:r>
        <w:rPr>
          <w:rFonts w:eastAsia="Times New Roman" w:cs="Times New Roman" w:ascii="Times New Roman" w:hAnsi="Times New Roman"/>
          <w:color w:val="000000"/>
          <w:sz w:val="24"/>
          <w:szCs w:val="24"/>
          <w:highlight w:val="white"/>
          <w:lang w:val="pt-BR"/>
        </w:rPr>
        <w:t>Impacto da Não Realização da Contratação: Caso a contratação não se concretize, o município poderá enfrentar consequências, como o aumento do sedentarismo, a proliferação de comportamentos antissociais entre os jovens e a diminuição das oportunidades de socialização saudável. Além disso, a ausência de investimentos em infraestrutura esportiva pode deixar Arapiraca em desvantagem em comparação a outros municípios, prejudicando sua imagem e comprometendo o desenvolvimento do potencial esportivo local.</w:t>
      </w:r>
    </w:p>
    <w:p>
      <w:pPr>
        <w:pStyle w:val="Normal"/>
        <w:numPr>
          <w:ilvl w:val="1"/>
          <w:numId w:val="1"/>
        </w:numPr>
        <w:pBdr/>
        <w:spacing w:lineRule="auto" w:line="276" w:before="120" w:after="120"/>
        <w:ind w:firstLine="272"/>
        <w:jc w:val="both"/>
        <w:rPr>
          <w:lang w:val="pt-BR"/>
        </w:rPr>
      </w:pPr>
      <w:r>
        <w:rPr>
          <w:rFonts w:eastAsia="Times New Roman" w:cs="Times New Roman" w:ascii="Times New Roman" w:hAnsi="Times New Roman"/>
          <w:color w:val="000000"/>
          <w:sz w:val="24"/>
          <w:szCs w:val="24"/>
          <w:highlight w:val="white"/>
          <w:lang w:val="pt-BR"/>
        </w:rPr>
        <w:t>A construção por demanda dos campos em saibro irá beneficiar diretamente a população, contribuindo para o fortalecimento da cultura esportiva no município. A iniciativa está alinhada às diretrizes da Secretaria Municipal de Esporte, que busca promover atividades inclusivas e acessíveis a todos, independentemente da classe social. Ademais, este projeto é uma oportunidade de fomentar a cidadania, promovendo também valores de cooperação, respeito e trabalho em equipe entre os participantes.</w:t>
      </w:r>
    </w:p>
    <w:p>
      <w:pPr>
        <w:pStyle w:val="Normal"/>
        <w:pBdr/>
        <w:spacing w:lineRule="auto" w:line="276" w:before="120" w:after="120"/>
        <w:ind w:firstLine="346" w:left="357"/>
        <w:jc w:val="both"/>
        <w:rPr>
          <w:lang w:val="pt-BR"/>
        </w:rPr>
      </w:pPr>
      <w:r>
        <w:rPr>
          <w:rFonts w:eastAsia="Times New Roman" w:cs="Times New Roman" w:ascii="Times New Roman" w:hAnsi="Times New Roman"/>
          <w:color w:val="000000"/>
          <w:sz w:val="24"/>
          <w:szCs w:val="24"/>
          <w:highlight w:val="white"/>
          <w:lang w:val="pt-BR"/>
        </w:rPr>
        <w:t>Esses pontos destacam a necessidade de espaços poliesportivos na promoção do bem-estar social e na construção de uma sociedade mais justa e igualitária. Assim, a realização destas obras não apenas justifica o investimento público como igualmente enriquece a defesa dos direitos fundamentais dos cidadãos, em especial o direito ao lazer, à cultura e à saúde.</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DEMONSTRAÇÃO DA PREVISÃO DA CONTRATAÇÃO NO PLANO DE CONTRATAÇÃO ANUAL</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highlight w:val="white"/>
          <w:lang w:val="pt-BR"/>
        </w:rPr>
        <w:t>O objeto em questão encontra-se previsto no Plano Anual de Contratações. Ademais, a contratação pretendida está alinhada ao planejamento da Administração, estando inserida no Plano Plurianual (PPA) e na Lei de Diretrizes Orçamentárias (LDO) de 2026.</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DESCRIÇÃO DOS REQUISITOS DA CONTRATAÇÃO</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 obra será executada por empresa de engenharia no ramo, devidamente regulamentada e autorizada pelos órgãos competentes, em conformidade com a legislação vigente e padrões de sustentabilidade exigidos nesse instrumento e no futuro projeto básico. O objeto a ser contratado possui prazo de execução previsto em cronograma físico financeiro, estabelecido no projeto básico. No projeto básico foram apresentados os elementos necessários e suficientes, com nível de precisão adequado para definir e dimensionar a obra, assegurando a viabilidade técnica e o adequado tratamento do impacto ambiental do empreendimento, possibilitando a avaliação do custo da obra e a definição dos métodos e do prazo de execução. Os requisitos abaixo foram cuidadosamente avaliados, não have</w:t>
      </w:r>
      <w:bookmarkStart w:id="0" w:name="_GoBack"/>
      <w:bookmarkEnd w:id="0"/>
      <w:r>
        <w:rPr>
          <w:rFonts w:eastAsia="Times New Roman" w:cs="Times New Roman" w:ascii="Times New Roman" w:hAnsi="Times New Roman"/>
          <w:color w:val="000000"/>
          <w:sz w:val="24"/>
          <w:szCs w:val="24"/>
          <w:lang w:val="pt-BR"/>
        </w:rPr>
        <w:t>ndo especificações capazes de macular o caráter competitivo da seleção.</w:t>
      </w:r>
    </w:p>
    <w:p>
      <w:pPr>
        <w:pStyle w:val="Normal"/>
        <w:pBdr/>
        <w:spacing w:lineRule="auto" w:line="276" w:before="0" w:after="0"/>
        <w:jc w:val="both"/>
        <w:rPr>
          <w:rFonts w:ascii="Times New Roman" w:hAnsi="Times New Roman" w:eastAsia="Times New Roman" w:cs="Times New Roman"/>
          <w:color w:val="000000"/>
          <w:sz w:val="24"/>
          <w:szCs w:val="24"/>
          <w:highlight w:val="yellow"/>
          <w:lang w:val="pt-BR"/>
        </w:rPr>
      </w:pPr>
      <w:r>
        <w:rPr>
          <w:rFonts w:eastAsia="Times New Roman" w:cs="Times New Roman" w:ascii="Times New Roman" w:hAnsi="Times New Roman"/>
          <w:color w:val="000000"/>
          <w:sz w:val="24"/>
          <w:szCs w:val="24"/>
          <w:highlight w:val="yellow"/>
          <w:lang w:val="pt-BR"/>
        </w:rPr>
      </w:r>
    </w:p>
    <w:p>
      <w:pPr>
        <w:pStyle w:val="Normal"/>
        <w:numPr>
          <w:ilvl w:val="1"/>
          <w:numId w:val="1"/>
        </w:numPr>
        <w:pBdr/>
        <w:spacing w:lineRule="auto" w:line="276" w:before="0" w:after="0"/>
        <w:ind w:firstLine="851" w:left="0"/>
        <w:jc w:val="both"/>
        <w:rPr>
          <w:lang w:val="pt-BR"/>
        </w:rPr>
      </w:pPr>
      <w:r>
        <w:rPr>
          <w:rFonts w:eastAsia="Times New Roman" w:cs="Times New Roman" w:ascii="Times New Roman" w:hAnsi="Times New Roman"/>
          <w:color w:val="000000"/>
          <w:sz w:val="24"/>
          <w:szCs w:val="24"/>
          <w:lang w:val="pt-BR"/>
        </w:rPr>
        <w:t>Requisitos técnicos da contratação</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Para correta execução do objeto devem ser observados os seguintes requisitos:</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numPr>
          <w:ilvl w:val="0"/>
          <w:numId w:val="8"/>
        </w:numPr>
        <w:pBdr/>
        <w:spacing w:lineRule="auto" w:line="276" w:before="0" w:after="0"/>
        <w:ind w:hanging="0" w:left="567"/>
        <w:jc w:val="both"/>
        <w:rPr>
          <w:lang w:val="pt-BR"/>
        </w:rPr>
      </w:pPr>
      <w:r>
        <w:rPr>
          <w:rFonts w:eastAsia="Times New Roman" w:cs="Times New Roman" w:ascii="Times New Roman" w:hAnsi="Times New Roman"/>
          <w:color w:val="000000"/>
          <w:sz w:val="24"/>
          <w:szCs w:val="24"/>
          <w:lang w:val="pt-BR"/>
        </w:rPr>
        <w:t xml:space="preserve">Definição da área pública de intervenção conforme demanda; </w:t>
      </w:r>
    </w:p>
    <w:p>
      <w:pPr>
        <w:pStyle w:val="Normal"/>
        <w:numPr>
          <w:ilvl w:val="0"/>
          <w:numId w:val="8"/>
        </w:numPr>
        <w:pBdr/>
        <w:spacing w:lineRule="auto" w:line="276" w:before="0" w:after="0"/>
        <w:ind w:hanging="0" w:left="567"/>
        <w:jc w:val="both"/>
        <w:rPr>
          <w:lang w:val="pt-BR"/>
        </w:rPr>
      </w:pPr>
      <w:r>
        <w:rPr>
          <w:rFonts w:eastAsia="Times New Roman" w:cs="Times New Roman" w:ascii="Times New Roman" w:hAnsi="Times New Roman"/>
          <w:color w:val="000000"/>
          <w:sz w:val="24"/>
          <w:szCs w:val="24"/>
          <w:lang w:val="pt-BR"/>
        </w:rPr>
        <w:t xml:space="preserve">Garantia do fornecimento de água e Energia; </w:t>
      </w:r>
    </w:p>
    <w:p>
      <w:pPr>
        <w:pStyle w:val="Normal"/>
        <w:numPr>
          <w:ilvl w:val="0"/>
          <w:numId w:val="8"/>
        </w:numPr>
        <w:pBdr/>
        <w:spacing w:lineRule="auto" w:line="276" w:before="0" w:after="0"/>
        <w:ind w:hanging="0" w:left="567"/>
        <w:jc w:val="both"/>
        <w:rPr>
          <w:lang w:val="pt-BR"/>
        </w:rPr>
      </w:pPr>
      <w:r>
        <w:rPr>
          <w:rFonts w:eastAsia="Times New Roman" w:cs="Times New Roman" w:ascii="Times New Roman" w:hAnsi="Times New Roman"/>
          <w:color w:val="000000"/>
          <w:sz w:val="24"/>
          <w:szCs w:val="24"/>
          <w:lang w:val="pt-BR"/>
        </w:rPr>
        <w:t>A metodologia executiva a ser adotada, deverá estar em conformidade com as normas técnicas vigentes;</w:t>
      </w:r>
    </w:p>
    <w:p>
      <w:pPr>
        <w:pStyle w:val="Normal"/>
        <w:numPr>
          <w:ilvl w:val="0"/>
          <w:numId w:val="8"/>
        </w:numPr>
        <w:pBdr/>
        <w:spacing w:lineRule="auto" w:line="276" w:before="0" w:after="0"/>
        <w:ind w:hanging="0" w:left="567"/>
        <w:jc w:val="both"/>
        <w:rPr>
          <w:lang w:val="pt-BR"/>
        </w:rPr>
      </w:pPr>
      <w:r>
        <w:rPr>
          <w:rFonts w:eastAsia="Times New Roman" w:cs="Times New Roman" w:ascii="Times New Roman" w:hAnsi="Times New Roman"/>
          <w:color w:val="000000"/>
          <w:sz w:val="24"/>
          <w:szCs w:val="24"/>
          <w:lang w:val="pt-BR"/>
        </w:rPr>
        <w:t>A definição do orçamento e do prazo de execução da obra, estão delineados no cronograma físico-financeiro elaborado para cada Obra-Serviço, conforme ordem de serviço;</w:t>
      </w:r>
    </w:p>
    <w:p>
      <w:pPr>
        <w:pStyle w:val="Normal"/>
        <w:numPr>
          <w:ilvl w:val="0"/>
          <w:numId w:val="8"/>
        </w:numPr>
        <w:pBdr/>
        <w:spacing w:lineRule="auto" w:line="276" w:before="0" w:after="0"/>
        <w:ind w:hanging="0" w:left="567"/>
        <w:jc w:val="both"/>
        <w:rPr>
          <w:lang w:val="pt-BR"/>
        </w:rPr>
      </w:pPr>
      <w:r>
        <w:rPr>
          <w:rFonts w:eastAsia="Times New Roman" w:cs="Times New Roman" w:ascii="Times New Roman" w:hAnsi="Times New Roman"/>
          <w:color w:val="000000"/>
          <w:sz w:val="24"/>
          <w:szCs w:val="24"/>
          <w:lang w:val="pt-BR"/>
        </w:rPr>
        <w:t>Deverá ser cumprido, por parte da contratada, o Plano de Gerenciamento de Resíduos da Construção Civil – RCC (CONAMA 307), garantindo o correto descarte destes segundo sua classe;</w:t>
      </w:r>
    </w:p>
    <w:p>
      <w:pPr>
        <w:pStyle w:val="Normal"/>
        <w:numPr>
          <w:ilvl w:val="0"/>
          <w:numId w:val="8"/>
        </w:numPr>
        <w:pBdr/>
        <w:spacing w:lineRule="auto" w:line="276" w:before="0" w:after="0"/>
        <w:ind w:hanging="0" w:left="567"/>
        <w:jc w:val="both"/>
        <w:rPr>
          <w:lang w:val="pt-BR"/>
        </w:rPr>
      </w:pPr>
      <w:r>
        <w:rPr>
          <w:rFonts w:eastAsia="Times New Roman" w:cs="Times New Roman" w:ascii="Times New Roman" w:hAnsi="Times New Roman"/>
          <w:color w:val="000000"/>
          <w:sz w:val="24"/>
          <w:szCs w:val="24"/>
          <w:lang w:val="pt-BR"/>
        </w:rPr>
        <w:t xml:space="preserve">Para fins de habilitação, deverá o licitante, apresentar de certidão de registro/quitação da contratada junto ao CREA / CAU, constando os nomes dos profissionais que poderão atuar como responsáveis técnicos pelos serviços a serem executados, conforme disciplina a Resolução 425/98 do CONFEA, artigo 4º, parágrafo único; </w:t>
      </w:r>
    </w:p>
    <w:p>
      <w:pPr>
        <w:pStyle w:val="Normal"/>
        <w:numPr>
          <w:ilvl w:val="0"/>
          <w:numId w:val="8"/>
        </w:numPr>
        <w:pBdr/>
        <w:spacing w:lineRule="auto" w:line="276" w:before="0" w:after="0"/>
        <w:ind w:hanging="0" w:left="567"/>
        <w:jc w:val="both"/>
        <w:rPr>
          <w:lang w:val="pt-BR"/>
        </w:rPr>
      </w:pPr>
      <w:r>
        <w:rPr>
          <w:rFonts w:eastAsia="Times New Roman" w:cs="Times New Roman" w:ascii="Times New Roman" w:hAnsi="Times New Roman"/>
          <w:color w:val="000000"/>
          <w:sz w:val="24"/>
          <w:szCs w:val="24"/>
          <w:lang w:val="pt-BR"/>
        </w:rPr>
        <w:t>Deverá ser apresentado comprovação de aptidão técnica, consistente, pela apresentação de uma ou mais certidões de acervo técnico expedidas pelo CREA / CAU, em nome dos profissionais que exercerão a função de responsáveis técnicos, comprovando a execução de obra ou serviço com características similares ao objeto a ser contratado, mediante apresentação de Atestado de Capacidade Técnico Profissional;</w:t>
      </w:r>
    </w:p>
    <w:p>
      <w:pPr>
        <w:pStyle w:val="Normal"/>
        <w:numPr>
          <w:ilvl w:val="0"/>
          <w:numId w:val="8"/>
        </w:numPr>
        <w:pBdr/>
        <w:spacing w:lineRule="auto" w:line="276" w:before="0" w:after="0"/>
        <w:ind w:hanging="0" w:left="567"/>
        <w:jc w:val="both"/>
        <w:rPr>
          <w:lang w:val="pt-BR"/>
        </w:rPr>
      </w:pPr>
      <w:r>
        <w:rPr>
          <w:rFonts w:eastAsia="Times New Roman" w:cs="Times New Roman" w:ascii="Times New Roman" w:hAnsi="Times New Roman"/>
          <w:color w:val="000000"/>
          <w:sz w:val="24"/>
          <w:szCs w:val="24"/>
          <w:lang w:val="pt-BR"/>
        </w:rPr>
        <w:t>Deverá ser apresentado, por parte da contratada, Atestado de Capacidade Técnico Operacional, comprovando a realização de obras ou serviços com características similares ao objeto a ser contratado; com ênfase aos Itens de Relevância definidos na Curva ABC:</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A exigência de Capacidade Técnica Operacional se restringe: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I)</w:t>
        <w:tab/>
        <w:t>Ao item de maior relevância global (são aqueles que constituem o escopo da licitação, representando o “objeto final licitado” ou a “obra em sua totalidade”;</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II)</w:t>
        <w:tab/>
        <w:t xml:space="preserve">Aos itens de maior relevância técnica e financeira contidas no objeto a ser licitado (curva ABC), em número máximo de 8 (oito) itens, e não superior a 50% (cinquenta por cento) das quantidades licitadas para o serviço específico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III)</w:t>
        <w:tab/>
        <w:t>Não é vedado o somatório de atestados, para o atendimento dos itens de “maior relevância global” e / ou aos de “maior relevância técnica contidas no objeto a ser licitado”. Justificativa: de acordo com o Acórdão nº 2.760/2012 – Plenário.</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numPr>
          <w:ilvl w:val="0"/>
          <w:numId w:val="10"/>
        </w:numPr>
        <w:suppressAutoHyphens w:val="true"/>
        <w:spacing w:lineRule="auto" w:line="276" w:before="0" w:after="0"/>
        <w:contextualSpacing/>
        <w:jc w:val="both"/>
        <w:rPr>
          <w:lang w:val="pt-BR"/>
        </w:rPr>
      </w:pPr>
      <w:r>
        <w:rPr>
          <w:rFonts w:cs="Times New Roman" w:ascii="Times New Roman" w:hAnsi="Times New Roman"/>
          <w:b/>
          <w:kern w:val="2"/>
          <w:sz w:val="24"/>
          <w:szCs w:val="24"/>
          <w:lang w:val="pt-BR" w:eastAsia="zh-CN"/>
        </w:rPr>
        <w:t>Exigência de Capacidade Técnica Operacional;</w:t>
      </w:r>
    </w:p>
    <w:p>
      <w:pPr>
        <w:pStyle w:val="Normal"/>
        <w:suppressAutoHyphens w:val="true"/>
        <w:spacing w:lineRule="auto" w:line="276" w:before="0" w:after="0"/>
        <w:ind w:left="720"/>
        <w:contextualSpacing/>
        <w:jc w:val="both"/>
        <w:rPr>
          <w:rFonts w:ascii="Times New Roman" w:hAnsi="Times New Roman" w:cs="Times New Roman"/>
          <w:kern w:val="2"/>
          <w:sz w:val="24"/>
          <w:szCs w:val="24"/>
          <w:lang w:val="pt-BR" w:eastAsia="zh-CN"/>
        </w:rPr>
      </w:pPr>
      <w:r>
        <w:rPr>
          <w:rFonts w:cs="Times New Roman" w:ascii="Times New Roman" w:hAnsi="Times New Roman"/>
          <w:kern w:val="2"/>
          <w:sz w:val="24"/>
          <w:szCs w:val="24"/>
          <w:lang w:val="pt-BR" w:eastAsia="zh-CN"/>
        </w:rPr>
      </w:r>
    </w:p>
    <w:p>
      <w:pPr>
        <w:pStyle w:val="Normal"/>
        <w:suppressAutoHyphens w:val="true"/>
        <w:spacing w:lineRule="auto" w:line="276" w:before="0" w:after="0"/>
        <w:ind w:firstLine="360"/>
        <w:contextualSpacing/>
        <w:jc w:val="both"/>
        <w:rPr>
          <w:lang w:val="pt-BR"/>
        </w:rPr>
      </w:pPr>
      <w:r>
        <w:rPr>
          <w:rFonts w:cs="Times New Roman" w:ascii="Times New Roman" w:hAnsi="Times New Roman"/>
          <w:kern w:val="2"/>
          <w:sz w:val="24"/>
          <w:szCs w:val="24"/>
          <w:lang w:val="pt-BR" w:eastAsia="zh-CN"/>
        </w:rPr>
        <w:t>As quantidades determinadas na tabela a seguir correspondem a 40% do total de cada item, sendo esse o mínimo a ser comprovado pelas empresas participantes da licitação.</w:t>
      </w:r>
    </w:p>
    <w:tbl>
      <w:tblPr>
        <w:tblW w:w="5000" w:type="pct"/>
        <w:jc w:val="center"/>
        <w:tblInd w:w="0" w:type="dxa"/>
        <w:tblLayout w:type="fixed"/>
        <w:tblCellMar>
          <w:top w:w="0" w:type="dxa"/>
          <w:left w:w="108" w:type="dxa"/>
          <w:bottom w:w="0" w:type="dxa"/>
          <w:right w:w="108" w:type="dxa"/>
        </w:tblCellMar>
        <w:tblLook w:firstRow="0" w:noVBand="1" w:lastRow="0" w:firstColumn="0" w:lastColumn="0" w:noHBand="0" w:val="0400"/>
      </w:tblPr>
      <w:tblGrid>
        <w:gridCol w:w="7227"/>
        <w:gridCol w:w="564"/>
        <w:gridCol w:w="1286"/>
      </w:tblGrid>
      <w:tr>
        <w:trPr>
          <w:trHeight w:val="397" w:hRule="atLeast"/>
        </w:trPr>
        <w:tc>
          <w:tcPr>
            <w:tcW w:w="7227" w:type="dxa"/>
            <w:tcBorders>
              <w:top w:val="single" w:sz="4" w:space="0" w:color="000000"/>
              <w:left w:val="single" w:sz="4" w:space="0" w:color="000000"/>
              <w:bottom w:val="single" w:sz="4" w:space="0" w:color="000000"/>
              <w:right w:val="single" w:sz="4" w:space="0" w:color="000000"/>
            </w:tcBorders>
            <w:shd w:color="auto" w:fill="D9E2F3" w:val="clear"/>
            <w:vAlign w:val="center"/>
          </w:tcPr>
          <w:p>
            <w:pPr>
              <w:pStyle w:val="Normal"/>
              <w:widowControl w:val="false"/>
              <w:spacing w:lineRule="auto" w:line="360" w:before="0" w:after="0"/>
              <w:jc w:val="center"/>
              <w:rPr>
                <w:lang w:val="pt-BR"/>
              </w:rPr>
            </w:pPr>
            <w:r>
              <w:rPr>
                <w:rFonts w:eastAsia="Arial" w:cs="Arial" w:ascii="Arial" w:hAnsi="Arial"/>
                <w:b/>
                <w:bCs/>
                <w:sz w:val="16"/>
                <w:szCs w:val="16"/>
                <w:lang w:val="pt-BR"/>
              </w:rPr>
              <w:t>DESCRIÇÃO</w:t>
            </w:r>
          </w:p>
        </w:tc>
        <w:tc>
          <w:tcPr>
            <w:tcW w:w="564" w:type="dxa"/>
            <w:tcBorders>
              <w:top w:val="single" w:sz="4" w:space="0" w:color="000000"/>
              <w:left w:val="single" w:sz="4" w:space="0" w:color="000000"/>
              <w:bottom w:val="single" w:sz="4" w:space="0" w:color="000000"/>
              <w:right w:val="single" w:sz="4" w:space="0" w:color="000000"/>
            </w:tcBorders>
            <w:shd w:color="auto" w:fill="D9E2F3" w:val="clear"/>
            <w:vAlign w:val="center"/>
          </w:tcPr>
          <w:p>
            <w:pPr>
              <w:pStyle w:val="Normal"/>
              <w:widowControl w:val="false"/>
              <w:spacing w:lineRule="auto" w:line="360" w:before="0" w:after="0"/>
              <w:jc w:val="center"/>
              <w:rPr>
                <w:lang w:val="pt-BR"/>
              </w:rPr>
            </w:pPr>
            <w:r>
              <w:rPr>
                <w:rFonts w:eastAsia="Arial" w:cs="Arial" w:ascii="Arial" w:hAnsi="Arial"/>
                <w:b/>
                <w:bCs/>
                <w:sz w:val="16"/>
                <w:szCs w:val="16"/>
                <w:lang w:val="pt-BR"/>
              </w:rPr>
              <w:t>UND</w:t>
            </w:r>
          </w:p>
        </w:tc>
        <w:tc>
          <w:tcPr>
            <w:tcW w:w="1286" w:type="dxa"/>
            <w:tcBorders>
              <w:top w:val="single" w:sz="4" w:space="0" w:color="000000"/>
              <w:left w:val="single" w:sz="4" w:space="0" w:color="000000"/>
              <w:bottom w:val="single" w:sz="4" w:space="0" w:color="000000"/>
              <w:right w:val="single" w:sz="4" w:space="0" w:color="000000"/>
            </w:tcBorders>
            <w:shd w:color="auto" w:fill="D9E2F3" w:val="clear"/>
            <w:vAlign w:val="center"/>
          </w:tcPr>
          <w:p>
            <w:pPr>
              <w:pStyle w:val="Normal"/>
              <w:widowControl w:val="false"/>
              <w:spacing w:lineRule="auto" w:line="360" w:before="0" w:after="0"/>
              <w:jc w:val="center"/>
              <w:rPr>
                <w:lang w:val="pt-BR"/>
              </w:rPr>
            </w:pPr>
            <w:r>
              <w:rPr>
                <w:rFonts w:eastAsia="Arial" w:cs="Arial" w:ascii="Arial" w:hAnsi="Arial"/>
                <w:b/>
                <w:bCs/>
                <w:sz w:val="16"/>
                <w:szCs w:val="16"/>
                <w:lang w:val="pt-BR"/>
              </w:rPr>
              <w:t>QUANTIDADE</w:t>
            </w:r>
          </w:p>
        </w:tc>
      </w:tr>
      <w:tr>
        <w:trPr>
          <w:trHeight w:val="700" w:hRule="atLeast"/>
        </w:trPr>
        <w:tc>
          <w:tcPr>
            <w:tcW w:w="722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ATERRO MECANIZADO DE VALA COM MINICARREGADEIRA, COM SOLO ARGILO-ARENOSO. AF_08/2023</w:t>
            </w:r>
          </w:p>
        </w:tc>
        <w:tc>
          <w:tcPr>
            <w:tcW w:w="56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M³</w:t>
            </w:r>
          </w:p>
        </w:tc>
        <w:tc>
          <w:tcPr>
            <w:tcW w:w="128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sz w:val="16"/>
                <w:szCs w:val="16"/>
                <w:lang w:val="pt-BR"/>
              </w:rPr>
              <w:t>3.123,14</w:t>
            </w:r>
          </w:p>
        </w:tc>
      </w:tr>
      <w:tr>
        <w:trPr>
          <w:trHeight w:val="1173" w:hRule="atLeast"/>
        </w:trPr>
        <w:tc>
          <w:tcPr>
            <w:tcW w:w="722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ALVENARIA DE VEDAÇÃO DE BLOCOS CERÂMICOS FURADOS NA HORIZONTAL DE 9X19X19 CM (ESPESSURA 9 CM) E ARGAMASSA DE ASSENTAMENTO COM PREPARO EM BETONEIRA. AF_12/2021</w:t>
            </w:r>
          </w:p>
        </w:tc>
        <w:tc>
          <w:tcPr>
            <w:tcW w:w="56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M²</w:t>
            </w:r>
          </w:p>
        </w:tc>
        <w:tc>
          <w:tcPr>
            <w:tcW w:w="128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sz w:val="16"/>
                <w:szCs w:val="16"/>
                <w:lang w:val="pt-BR"/>
              </w:rPr>
              <w:t>1.373,98</w:t>
            </w:r>
          </w:p>
        </w:tc>
      </w:tr>
      <w:tr>
        <w:trPr>
          <w:trHeight w:val="629" w:hRule="atLeast"/>
        </w:trPr>
        <w:tc>
          <w:tcPr>
            <w:tcW w:w="722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EXECUÇÃO DE PASSEIO (CALÇADA) OU PISO DE CONCRETO COM CONCRETO MOLDADO IN LOCO, USINADO, ACABAMENTO CONVENCIONAL, ESPESSURA 6 CM, ARMADO. AF_08/2022</w:t>
            </w:r>
          </w:p>
        </w:tc>
        <w:tc>
          <w:tcPr>
            <w:tcW w:w="56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M²</w:t>
            </w:r>
          </w:p>
        </w:tc>
        <w:tc>
          <w:tcPr>
            <w:tcW w:w="128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sz w:val="16"/>
                <w:szCs w:val="16"/>
                <w:lang w:val="pt-BR"/>
              </w:rPr>
              <w:t>1.662,72</w:t>
            </w:r>
          </w:p>
        </w:tc>
      </w:tr>
      <w:tr>
        <w:trPr>
          <w:trHeight w:val="569" w:hRule="atLeast"/>
        </w:trPr>
        <w:tc>
          <w:tcPr>
            <w:tcW w:w="722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59" w:before="171" w:after="171"/>
              <w:jc w:val="center"/>
              <w:rPr>
                <w:lang w:val="pt-BR"/>
              </w:rPr>
            </w:pPr>
            <w:r>
              <w:rPr>
                <w:rFonts w:eastAsia="Arial" w:cs="Arial" w:ascii="Arial" w:hAnsi="Arial"/>
                <w:sz w:val="16"/>
                <w:szCs w:val="16"/>
                <w:lang w:val="pt-BR"/>
              </w:rPr>
              <w:t>FABRICAÇÃO, MONTAGEM E DESMONTAGEM DE FÔRMA PARA VIGA BALDRAME, EM MADEIRA SERRADA, E=25 MM, 2 UTILIZAÇÕES. AF_01/2024</w:t>
            </w:r>
          </w:p>
        </w:tc>
        <w:tc>
          <w:tcPr>
            <w:tcW w:w="56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M²</w:t>
            </w:r>
          </w:p>
        </w:tc>
        <w:tc>
          <w:tcPr>
            <w:tcW w:w="128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sz w:val="16"/>
                <w:szCs w:val="16"/>
                <w:lang w:val="pt-BR"/>
              </w:rPr>
              <w:t>982,40</w:t>
            </w:r>
          </w:p>
        </w:tc>
      </w:tr>
      <w:tr>
        <w:trPr>
          <w:trHeight w:val="679" w:hRule="atLeast"/>
        </w:trPr>
        <w:tc>
          <w:tcPr>
            <w:tcW w:w="722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59" w:before="171" w:after="171"/>
              <w:jc w:val="center"/>
              <w:rPr>
                <w:lang w:val="pt-BR"/>
              </w:rPr>
            </w:pPr>
            <w:r>
              <w:rPr>
                <w:rFonts w:eastAsia="Arial" w:cs="Arial" w:ascii="Arial" w:hAnsi="Arial"/>
                <w:sz w:val="16"/>
                <w:szCs w:val="16"/>
                <w:lang w:val="pt-BR"/>
              </w:rPr>
              <w:t>CONTRAPISO EM ARGAMASSA TRAÇO 1:4 (CIMENTO E AREIA), PREPARO MANUAL, APLICADO EM ÁREAS MOLHADAS SOBRE LAJE, ADERIDO, ACABAMENTO NÃO REFORÇADO, ESPESSURA 2CM. AF_07/2021</w:t>
            </w:r>
          </w:p>
        </w:tc>
        <w:tc>
          <w:tcPr>
            <w:tcW w:w="56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M²</w:t>
            </w:r>
          </w:p>
        </w:tc>
        <w:tc>
          <w:tcPr>
            <w:tcW w:w="128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sz w:val="16"/>
                <w:szCs w:val="16"/>
                <w:lang w:val="pt-BR"/>
              </w:rPr>
              <w:t>2.206,80</w:t>
            </w:r>
          </w:p>
        </w:tc>
      </w:tr>
      <w:tr>
        <w:trPr>
          <w:trHeight w:val="721" w:hRule="atLeast"/>
        </w:trPr>
        <w:tc>
          <w:tcPr>
            <w:tcW w:w="722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REVESTIMENTO CERÂMICO PARA PISO OU PAREDE, 30 X 60 CM, LINHA CETIM BIANCO OU SIMILAR, PORTOBELLO OU SIMILAR, APLICADO COM ARGAMASSA INDUSTRIALIZADA AC-I, REJUNTADO, EXCLUSIVE REGULARIZAÇÃO DE BASE OU EMBOÇO</w:t>
            </w:r>
          </w:p>
        </w:tc>
        <w:tc>
          <w:tcPr>
            <w:tcW w:w="56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UN</w:t>
            </w:r>
          </w:p>
        </w:tc>
        <w:tc>
          <w:tcPr>
            <w:tcW w:w="128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sz w:val="16"/>
                <w:szCs w:val="16"/>
                <w:lang w:val="pt-BR"/>
              </w:rPr>
              <w:t>743,52</w:t>
            </w:r>
          </w:p>
        </w:tc>
      </w:tr>
      <w:tr>
        <w:trPr>
          <w:trHeight w:val="323" w:hRule="atLeast"/>
        </w:trPr>
        <w:tc>
          <w:tcPr>
            <w:tcW w:w="7227"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spacing w:lineRule="auto" w:line="259" w:before="171" w:after="171"/>
              <w:jc w:val="center"/>
              <w:rPr>
                <w:lang w:val="pt-BR"/>
              </w:rPr>
            </w:pPr>
            <w:r>
              <w:rPr>
                <w:rFonts w:eastAsia="Arial" w:cs="Arial" w:ascii="Arial" w:hAnsi="Arial"/>
                <w:sz w:val="16"/>
                <w:szCs w:val="16"/>
                <w:lang w:val="pt-BR"/>
              </w:rPr>
              <w:t>LOCAÇÃO CONVENCIONAL DE OBRA, UTILIZANDO GABARITO DE TÁBUAS CORRIDAS PONTALETADAS A CADA 2,00M - 2 UTILIZAÇÕES. AF_03/2024</w:t>
            </w:r>
          </w:p>
        </w:tc>
        <w:tc>
          <w:tcPr>
            <w:tcW w:w="564"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color w:val="000000"/>
                <w:sz w:val="16"/>
                <w:szCs w:val="16"/>
                <w:lang w:val="pt-BR"/>
              </w:rPr>
              <w:t>M</w:t>
            </w:r>
          </w:p>
        </w:tc>
        <w:tc>
          <w:tcPr>
            <w:tcW w:w="1286" w:type="dxa"/>
            <w:tcBorders>
              <w:top w:val="single" w:sz="4" w:space="0" w:color="000000"/>
              <w:left w:val="single" w:sz="4" w:space="0" w:color="000000"/>
              <w:bottom w:val="single" w:sz="4" w:space="0" w:color="000000"/>
              <w:right w:val="single" w:sz="4" w:space="0" w:color="000000"/>
            </w:tcBorders>
            <w:vAlign w:val="center"/>
          </w:tcPr>
          <w:p>
            <w:pPr>
              <w:pStyle w:val="Normal"/>
              <w:widowControl w:val="false"/>
              <w:pBdr/>
              <w:spacing w:lineRule="auto" w:line="259" w:before="0" w:after="160"/>
              <w:jc w:val="center"/>
              <w:rPr>
                <w:lang w:val="pt-BR"/>
              </w:rPr>
            </w:pPr>
            <w:r>
              <w:rPr>
                <w:rFonts w:eastAsia="Arial" w:cs="Arial" w:ascii="Arial" w:hAnsi="Arial"/>
                <w:sz w:val="16"/>
                <w:szCs w:val="16"/>
                <w:lang w:val="pt-BR"/>
              </w:rPr>
              <w:t>1466,40</w:t>
            </w:r>
          </w:p>
        </w:tc>
      </w:tr>
    </w:tbl>
    <w:p>
      <w:pPr>
        <w:pStyle w:val="Normal"/>
        <w:pBdr/>
        <w:spacing w:lineRule="auto" w:line="276" w:before="0" w:after="0"/>
        <w:jc w:val="both"/>
        <w:rPr>
          <w:rFonts w:ascii="Times New Roman" w:hAnsi="Times New Roman" w:eastAsia="Times New Roman" w:cs="Times New Roman"/>
          <w:color w:val="000000"/>
          <w:sz w:val="24"/>
          <w:szCs w:val="24"/>
          <w:highlight w:val="yellow"/>
          <w:lang w:val="pt-BR"/>
        </w:rPr>
      </w:pPr>
      <w:r>
        <w:rPr>
          <w:rFonts w:eastAsia="Times New Roman" w:cs="Times New Roman" w:ascii="Times New Roman" w:hAnsi="Times New Roman"/>
          <w:color w:val="000000"/>
          <w:sz w:val="24"/>
          <w:szCs w:val="24"/>
          <w:highlight w:val="yellow"/>
          <w:lang w:val="pt-BR"/>
        </w:rPr>
      </w:r>
    </w:p>
    <w:p>
      <w:pPr>
        <w:pStyle w:val="Normal"/>
        <w:pBdr/>
        <w:spacing w:lineRule="auto" w:line="276" w:before="0" w:after="0"/>
        <w:jc w:val="both"/>
        <w:rPr>
          <w:lang w:val="pt-BR"/>
        </w:rPr>
      </w:pPr>
      <w:r>
        <w:rPr>
          <w:rFonts w:eastAsia="Times New Roman" w:cs="Times New Roman" w:ascii="Times New Roman" w:hAnsi="Times New Roman"/>
          <w:color w:val="000000"/>
          <w:sz w:val="24"/>
          <w:szCs w:val="24"/>
          <w:lang w:val="pt-BR"/>
        </w:rPr>
        <w:t xml:space="preserve">OBS.: As quantidades determinadas na tabela correspondem a cerca de 40% do total do item, </w:t>
      </w:r>
      <w:r>
        <w:rPr>
          <w:rFonts w:eastAsia="Times New Roman" w:cs="Times New Roman" w:ascii="Times New Roman" w:hAnsi="Times New Roman"/>
          <w:b/>
          <w:color w:val="000000"/>
          <w:sz w:val="24"/>
          <w:szCs w:val="24"/>
          <w:lang w:val="pt-BR"/>
        </w:rPr>
        <w:t>sendo esse o mínimo a ser comprovado pelas empresas participantes da licitação</w:t>
      </w:r>
      <w:r>
        <w:rPr>
          <w:rFonts w:eastAsia="Times New Roman" w:cs="Times New Roman" w:ascii="Times New Roman" w:hAnsi="Times New Roman"/>
          <w:color w:val="000000"/>
          <w:sz w:val="24"/>
          <w:szCs w:val="24"/>
          <w:lang w:val="pt-BR"/>
        </w:rPr>
        <w:t>.</w:t>
      </w:r>
    </w:p>
    <w:p>
      <w:pPr>
        <w:pStyle w:val="Normal"/>
        <w:pBdr/>
        <w:spacing w:lineRule="auto" w:line="276" w:before="0" w:after="0"/>
        <w:ind w:firstLine="851"/>
        <w:jc w:val="both"/>
        <w:rPr>
          <w:rFonts w:ascii="Times New Roman" w:hAnsi="Times New Roman" w:eastAsia="Times New Roman" w:cs="Times New Roman"/>
          <w:color w:val="000000"/>
          <w:sz w:val="24"/>
          <w:szCs w:val="24"/>
          <w:highlight w:val="yellow"/>
          <w:lang w:val="pt-BR"/>
        </w:rPr>
      </w:pPr>
      <w:r>
        <w:rPr>
          <w:rFonts w:eastAsia="Times New Roman" w:cs="Times New Roman" w:ascii="Times New Roman" w:hAnsi="Times New Roman"/>
          <w:color w:val="000000"/>
          <w:sz w:val="24"/>
          <w:szCs w:val="24"/>
          <w:highlight w:val="yellow"/>
          <w:lang w:val="pt-BR"/>
        </w:rPr>
      </w:r>
    </w:p>
    <w:p>
      <w:pPr>
        <w:pStyle w:val="Normal"/>
        <w:numPr>
          <w:ilvl w:val="1"/>
          <w:numId w:val="1"/>
        </w:numPr>
        <w:pBdr/>
        <w:spacing w:lineRule="auto" w:line="276"/>
        <w:ind w:firstLine="851" w:left="0"/>
        <w:jc w:val="both"/>
        <w:rPr>
          <w:lang w:val="pt-BR"/>
        </w:rPr>
      </w:pPr>
      <w:r>
        <w:rPr>
          <w:rFonts w:eastAsia="Times New Roman" w:cs="Times New Roman" w:ascii="Times New Roman" w:hAnsi="Times New Roman"/>
          <w:color w:val="000000"/>
          <w:sz w:val="24"/>
          <w:szCs w:val="24"/>
          <w:lang w:val="pt-BR"/>
        </w:rPr>
        <w:t>Requisitos de sustentabilidade</w:t>
      </w:r>
    </w:p>
    <w:p>
      <w:pPr>
        <w:pStyle w:val="Normal"/>
        <w:pBdr/>
        <w:spacing w:lineRule="auto" w:line="276"/>
        <w:ind w:firstLine="851"/>
        <w:jc w:val="both"/>
        <w:rPr>
          <w:lang w:val="pt-BR"/>
        </w:rPr>
      </w:pPr>
      <w:r>
        <w:rPr>
          <w:rFonts w:eastAsia="Times New Roman" w:cs="Times New Roman" w:ascii="Times New Roman" w:hAnsi="Times New Roman"/>
          <w:color w:val="000000"/>
          <w:sz w:val="24"/>
          <w:szCs w:val="24"/>
          <w:lang w:val="pt-BR"/>
        </w:rPr>
        <w:t xml:space="preserve">A empresa contratada deverá utilizar na execução das obras as boas práticas de sustentabilidade ambiental, respeitando-se, dentre outros, os critérios ambientais indicados abaixo: </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Uso produtos de limpeza e conservação de superfícies e objetos inanimados que obedeçam às classificações e especificações da ANVISA.</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Implementação de um programa de treinamento de seus empregados visando o uso racional de consumo de energia elétrica e água, bem como redução de resíduos sólidos.</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Sempre que possível, fazer uso de energia renovável.</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 xml:space="preserve">Classificação e destinação adequada dos resíduos recicláveis produzidos durante a execução dos serviços. Especificamente para papéis e latas de alumínio deve-se contatar as Associações e/ou Cooperativas locais de catadores de materiais recicláveis. </w:t>
      </w:r>
    </w:p>
    <w:p>
      <w:pPr>
        <w:pStyle w:val="Normal"/>
        <w:numPr>
          <w:ilvl w:val="0"/>
          <w:numId w:val="7"/>
        </w:numPr>
        <w:pBdr/>
        <w:spacing w:lineRule="auto" w:line="276"/>
        <w:ind w:hanging="0" w:left="0"/>
        <w:jc w:val="both"/>
        <w:rPr/>
      </w:pPr>
      <w:r>
        <w:rPr>
          <w:rFonts w:eastAsia="Times New Roman" w:cs="Times New Roman" w:ascii="Times New Roman" w:hAnsi="Times New Roman"/>
          <w:color w:val="000000"/>
          <w:sz w:val="24"/>
          <w:szCs w:val="24"/>
          <w:lang w:val="pt-BR"/>
        </w:rPr>
        <w:t xml:space="preserve">Práticas de redução de consumo de papel, utilizando o padrão frente-verso na impressão de relatórios e outros documentos, bem como utilize a fonte ecológica recomendada pela Advocacia Geral de União, disponível no endereço eletrônico: </w:t>
      </w:r>
      <w:hyperlink r:id="rId2">
        <w:r>
          <w:rPr>
            <w:rStyle w:val="ListLabel91"/>
            <w:rFonts w:eastAsia="Times New Roman" w:cs="Times New Roman" w:ascii="Times New Roman" w:hAnsi="Times New Roman"/>
            <w:color w:val="0563C1"/>
            <w:sz w:val="24"/>
            <w:szCs w:val="24"/>
            <w:u w:val="single"/>
            <w:lang w:val="pt-BR"/>
          </w:rPr>
          <w:t>www.agu.gov.br/econfont</w:t>
        </w:r>
      </w:hyperlink>
      <w:r>
        <w:rPr>
          <w:rFonts w:eastAsia="Times New Roman" w:cs="Times New Roman" w:ascii="Times New Roman" w:hAnsi="Times New Roman"/>
          <w:color w:val="000000"/>
          <w:sz w:val="24"/>
          <w:szCs w:val="24"/>
          <w:lang w:val="pt-BR"/>
        </w:rPr>
        <w:t xml:space="preserve">. </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 xml:space="preserve">Adoção de uso preferencialmente de papel não clorado na impressão de documentos e relatórios. </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Adoção de práticas de substituição de copos descartáveis por copos definitivos.</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 xml:space="preserve">Adoção de prática de destinação final das pilhas e baterias usadas ou inservíveis, segundo a Resolução CONAMA Nº 257/1999. </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 xml:space="preserve">Atendimento aos padrões indicados pela Resolução CONAMA Nº 20/1994 quando da aquisição e utilização de equipamentos de limpeza que gerem ruídos em seu funcionamento. </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 xml:space="preserve">Adoção e promoção de medidas de proteção para a redução ou neutralização dos riscos ocupacionais aos seus empregados, além de fornecimento de equipamentos de proteção individuais – EPI’s necessários, tais como óculos, luvas, aventais, máscaras, calçados apropriados, protetores auriculares, etc., fiscalizando e zelando para que os mesmos cumpram as normas e procedimentos destinados à preservação de suas integridades. </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 xml:space="preserve">Consideração nas pesquisas de preços para aquisições e serviços contemplados no escopo da contratação, empresas que tenham certificação ambiental. </w:t>
      </w:r>
    </w:p>
    <w:p>
      <w:pPr>
        <w:pStyle w:val="Normal"/>
        <w:numPr>
          <w:ilvl w:val="0"/>
          <w:numId w:val="7"/>
        </w:numPr>
        <w:pBdr/>
        <w:spacing w:lineRule="auto" w:line="276"/>
        <w:ind w:hanging="0" w:left="0"/>
        <w:jc w:val="both"/>
        <w:rPr>
          <w:lang w:val="pt-BR"/>
        </w:rPr>
      </w:pPr>
      <w:r>
        <w:rPr>
          <w:rFonts w:eastAsia="Times New Roman" w:cs="Times New Roman" w:ascii="Times New Roman" w:hAnsi="Times New Roman"/>
          <w:color w:val="000000"/>
          <w:sz w:val="24"/>
          <w:szCs w:val="24"/>
          <w:lang w:val="pt-BR"/>
        </w:rPr>
        <w:t>Estímulo à troca de informações entre as equipes envolvidas por meio de ferramentas digitais e/ou virtuais.</w:t>
      </w:r>
    </w:p>
    <w:p>
      <w:pPr>
        <w:pStyle w:val="Normal"/>
        <w:numPr>
          <w:ilvl w:val="1"/>
          <w:numId w:val="1"/>
        </w:numPr>
        <w:pBdr/>
        <w:spacing w:lineRule="auto" w:line="276" w:before="0" w:after="0"/>
        <w:ind w:firstLine="851" w:left="0"/>
        <w:jc w:val="both"/>
        <w:rPr>
          <w:lang w:val="pt-BR"/>
        </w:rPr>
      </w:pPr>
      <w:r>
        <w:rPr>
          <w:rFonts w:eastAsia="Times New Roman" w:cs="Times New Roman" w:ascii="Times New Roman" w:hAnsi="Times New Roman"/>
          <w:color w:val="000000"/>
          <w:sz w:val="24"/>
          <w:szCs w:val="24"/>
          <w:lang w:val="pt-BR"/>
        </w:rPr>
        <w:t>Requisitos normativos que disciplinam os serviços a serem contratados</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numPr>
          <w:ilvl w:val="0"/>
          <w:numId w:val="5"/>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 xml:space="preserve">Lei nº 14.133, de 1º de abril de 2021, Lei de Licitações e Contratos Administrativos; </w:t>
      </w:r>
    </w:p>
    <w:p>
      <w:pPr>
        <w:pStyle w:val="Normal"/>
        <w:numPr>
          <w:ilvl w:val="0"/>
          <w:numId w:val="5"/>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Decretos Municipais de Arapiraca;</w:t>
      </w:r>
    </w:p>
    <w:p>
      <w:pPr>
        <w:pStyle w:val="Normal"/>
        <w:numPr>
          <w:ilvl w:val="0"/>
          <w:numId w:val="5"/>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 xml:space="preserve">Normas da ABNT, e das legislações pertinentes para execução de todos os serviços aplicáveis na execução da obra, inclusive no que tange a qualidade dos materiais; </w:t>
      </w:r>
    </w:p>
    <w:p>
      <w:pPr>
        <w:pStyle w:val="Normal"/>
        <w:numPr>
          <w:ilvl w:val="0"/>
          <w:numId w:val="5"/>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 xml:space="preserve">Instrução Normativa nº 58/DNIT SEDE, de 17 de setembro de 2021; </w:t>
      </w:r>
    </w:p>
    <w:p>
      <w:pPr>
        <w:pStyle w:val="Normal"/>
        <w:numPr>
          <w:ilvl w:val="0"/>
          <w:numId w:val="5"/>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Resolução CONAMA nº 307, de 05 de julho de 2002, que estabelece diretrizes, critérios e procedimentos para a gestão dos resíduos da construção civil.</w:t>
      </w:r>
    </w:p>
    <w:p>
      <w:pPr>
        <w:pStyle w:val="Normal"/>
        <w:pBdr/>
        <w:spacing w:lineRule="auto" w:line="276"/>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ind w:firstLine="368" w:left="340"/>
        <w:jc w:val="both"/>
        <w:rPr>
          <w:lang w:val="pt-BR"/>
        </w:rPr>
      </w:pPr>
      <w:r>
        <w:rPr>
          <w:rFonts w:eastAsia="Times New Roman" w:cs="Times New Roman" w:ascii="Times New Roman" w:hAnsi="Times New Roman"/>
          <w:color w:val="000000"/>
          <w:sz w:val="24"/>
          <w:szCs w:val="24"/>
          <w:lang w:val="pt-BR"/>
        </w:rPr>
        <w:t xml:space="preserve">8.4 </w:t>
      </w:r>
      <w:r>
        <w:rPr>
          <w:rFonts w:eastAsia="Times New Roman" w:cs="Times New Roman" w:ascii="Times New Roman" w:hAnsi="Times New Roman"/>
          <w:color w:val="00000A"/>
          <w:sz w:val="24"/>
          <w:szCs w:val="24"/>
          <w:lang w:val="pt-BR"/>
        </w:rPr>
        <w:t>Critério de julgamento “menor preço aferido de forma global” e modo de disputa “aberto e fechado”</w:t>
      </w:r>
    </w:p>
    <w:p>
      <w:pPr>
        <w:pStyle w:val="Normal"/>
        <w:pBdr/>
        <w:spacing w:lineRule="auto" w:line="276"/>
        <w:ind w:firstLine="679" w:left="737"/>
        <w:jc w:val="both"/>
        <w:rPr>
          <w:lang w:val="pt-BR"/>
        </w:rPr>
      </w:pPr>
      <w:r>
        <w:rPr>
          <w:rFonts w:eastAsia="Times New Roman" w:cs="Times New Roman" w:ascii="Times New Roman" w:hAnsi="Times New Roman"/>
          <w:color w:val="00000A"/>
          <w:sz w:val="24"/>
          <w:szCs w:val="24"/>
          <w:lang w:val="pt-BR"/>
        </w:rPr>
        <w:t>8.4.1. Sobre o Critério de Julgamento Menor preço, aferido de forma global.</w:t>
      </w:r>
    </w:p>
    <w:p>
      <w:pPr>
        <w:pStyle w:val="Normal"/>
        <w:pBdr/>
        <w:spacing w:lineRule="auto" w:line="276" w:before="0" w:after="0"/>
        <w:ind w:firstLine="708"/>
        <w:jc w:val="both"/>
        <w:rPr>
          <w:lang w:val="pt-BR"/>
        </w:rPr>
      </w:pPr>
      <w:r>
        <w:rPr>
          <w:rFonts w:eastAsia="Times New Roman" w:cs="Times New Roman" w:ascii="Times New Roman" w:hAnsi="Times New Roman"/>
          <w:color w:val="00000A"/>
          <w:sz w:val="24"/>
          <w:szCs w:val="24"/>
          <w:lang w:val="pt-BR"/>
        </w:rPr>
        <w:t xml:space="preserve">A Lei 14.133/2021, por meio de seu artigo 33, arrolou os critérios de julgamento a serem utilizados em um procedimento licitatório. </w:t>
      </w:r>
    </w:p>
    <w:p>
      <w:pPr>
        <w:pStyle w:val="Normal"/>
        <w:pBdr/>
        <w:spacing w:lineRule="auto" w:line="276" w:before="0" w:after="0"/>
        <w:ind w:firstLine="708"/>
        <w:jc w:val="both"/>
        <w:rPr>
          <w:lang w:val="pt-BR"/>
        </w:rPr>
      </w:pPr>
      <w:r>
        <w:rPr>
          <w:rFonts w:eastAsia="Times New Roman" w:cs="Times New Roman" w:ascii="Times New Roman" w:hAnsi="Times New Roman"/>
          <w:color w:val="00000A"/>
          <w:sz w:val="24"/>
          <w:szCs w:val="24"/>
          <w:lang w:val="pt-BR"/>
        </w:rPr>
        <w:t>As hipóteses constantes nos incisos I a VI consistem, portanto, em meios de se alcançar a maior vantajosidade possível em uma contratação pública. A escolha do critério mais adequado significa estabelecer uma base para a adoção de um parâmetro mínimo suficiente e condizente com a satisfação da necessidade municipal. Por conta disso, os critérios de julgamento devem ser objetivos, ou seja, capazes de serem traduzidos em parâmetros claros de avaliação e vantajosidade da proposta.</w:t>
      </w:r>
    </w:p>
    <w:p>
      <w:pPr>
        <w:pStyle w:val="Normal"/>
        <w:pBdr/>
        <w:spacing w:lineRule="auto" w:line="276" w:before="0" w:after="0"/>
        <w:ind w:firstLine="708"/>
        <w:jc w:val="both"/>
        <w:rPr>
          <w:lang w:val="pt-BR"/>
        </w:rPr>
      </w:pPr>
      <w:r>
        <w:rPr>
          <w:rFonts w:eastAsia="Times New Roman" w:cs="Times New Roman" w:ascii="Times New Roman" w:hAnsi="Times New Roman"/>
          <w:color w:val="00000A"/>
          <w:sz w:val="24"/>
          <w:szCs w:val="24"/>
          <w:lang w:val="pt-BR"/>
        </w:rPr>
        <w:t xml:space="preserve">O critério de julgamento menor preço, aferido de forma global, se provou ser mais vantajosa, pelas razões de que preço enquanto fator de seleção da proposta visa obter o menor custo possível para a Administração Pública, atrelada com as exigências já estabelecidas nas especificações técnicas e aos projetos, provoca mais atenção – aos futuros concorrentes participantes – ao ofertarem preços justos para conclusão do objeto. Além disso, pelo motivo da Administração Pública disponibilizar planilha de custos aos interessados, motiva uma análise completa de todas as etapas construtivas, assim, os interessados ao verificarem seus métodos produtivos ofertam preços na realidade pontual da sua empresa. </w:t>
      </w:r>
    </w:p>
    <w:p>
      <w:pPr>
        <w:pStyle w:val="Normal"/>
        <w:pBdr/>
        <w:spacing w:lineRule="auto" w:line="276" w:before="0" w:after="0"/>
        <w:jc w:val="both"/>
        <w:rPr>
          <w:lang w:val="pt-BR"/>
        </w:rPr>
      </w:pPr>
      <w:r>
        <w:rPr>
          <w:rFonts w:eastAsia="Times New Roman" w:cs="Times New Roman" w:ascii="Times New Roman" w:hAnsi="Times New Roman"/>
          <w:color w:val="00000A"/>
          <w:sz w:val="24"/>
          <w:szCs w:val="24"/>
          <w:lang w:val="pt-BR"/>
        </w:rPr>
        <w:tab/>
        <w:t xml:space="preserve">Concluindo assim, que o critério de julgamento menor preço, aferido de forma global, é mais vantajoso para este objeto para contratação pública, principalmente pela robustez de material técnico disponibilizado para os interessados adequarem aos seus preços produtivos e ofertarem preços justos a suas realidades.  </w:t>
      </w:r>
    </w:p>
    <w:p>
      <w:pPr>
        <w:pStyle w:val="Normal"/>
        <w:pBdr/>
        <w:spacing w:lineRule="auto" w:line="276" w:before="0" w:after="0"/>
        <w:jc w:val="both"/>
        <w:rPr>
          <w:rFonts w:ascii="Times New Roman" w:hAnsi="Times New Roman" w:eastAsia="Times New Roman" w:cs="Times New Roman"/>
          <w:color w:val="00000A"/>
          <w:sz w:val="24"/>
          <w:szCs w:val="24"/>
          <w:lang w:val="pt-BR"/>
        </w:rPr>
      </w:pPr>
      <w:r>
        <w:rPr>
          <w:rFonts w:eastAsia="Times New Roman" w:cs="Times New Roman" w:ascii="Times New Roman" w:hAnsi="Times New Roman"/>
          <w:color w:val="00000A"/>
          <w:sz w:val="24"/>
          <w:szCs w:val="24"/>
          <w:lang w:val="pt-BR"/>
        </w:rPr>
      </w:r>
    </w:p>
    <w:p>
      <w:pPr>
        <w:pStyle w:val="Normal"/>
        <w:pBdr/>
        <w:spacing w:lineRule="auto" w:line="276" w:before="0" w:after="0"/>
        <w:jc w:val="both"/>
        <w:rPr>
          <w:lang w:val="pt-BR"/>
        </w:rPr>
      </w:pPr>
      <w:r>
        <w:rPr>
          <w:rFonts w:eastAsia="Times New Roman" w:cs="Times New Roman" w:ascii="Times New Roman" w:hAnsi="Times New Roman"/>
          <w:color w:val="00000A"/>
          <w:sz w:val="24"/>
          <w:szCs w:val="24"/>
          <w:lang w:val="pt-BR"/>
        </w:rPr>
        <w:tab/>
        <w:tab/>
        <w:t>8.4.2. Sobre o modo de disputa Aberto e Fechado.</w:t>
      </w:r>
    </w:p>
    <w:p>
      <w:pPr>
        <w:pStyle w:val="Normal"/>
        <w:pBdr/>
        <w:spacing w:lineRule="auto" w:line="276" w:before="0" w:after="0"/>
        <w:jc w:val="both"/>
        <w:rPr>
          <w:rFonts w:ascii="Times New Roman" w:hAnsi="Times New Roman" w:eastAsia="Times New Roman" w:cs="Times New Roman"/>
          <w:color w:val="00000A"/>
          <w:sz w:val="24"/>
          <w:szCs w:val="24"/>
          <w:lang w:val="pt-BR"/>
        </w:rPr>
      </w:pPr>
      <w:r>
        <w:rPr>
          <w:rFonts w:eastAsia="Times New Roman" w:cs="Times New Roman" w:ascii="Times New Roman" w:hAnsi="Times New Roman"/>
          <w:color w:val="00000A"/>
          <w:sz w:val="24"/>
          <w:szCs w:val="24"/>
          <w:lang w:val="pt-BR"/>
        </w:rPr>
      </w:r>
    </w:p>
    <w:p>
      <w:pPr>
        <w:pStyle w:val="Normal"/>
        <w:pBdr/>
        <w:spacing w:lineRule="auto" w:line="276" w:before="0" w:after="0"/>
        <w:jc w:val="both"/>
        <w:rPr>
          <w:lang w:val="pt-BR"/>
        </w:rPr>
      </w:pPr>
      <w:r>
        <w:rPr>
          <w:rFonts w:eastAsia="Times New Roman" w:cs="Times New Roman" w:ascii="Times New Roman" w:hAnsi="Times New Roman"/>
          <w:color w:val="00000A"/>
          <w:sz w:val="24"/>
          <w:szCs w:val="24"/>
          <w:lang w:val="pt-BR"/>
        </w:rPr>
        <w:tab/>
        <w:t>Os Modos de Disputas Aberto e Fechado consistem na combinação dos dois tipos aludidos anteriormente, nesta ordem. Nesse caso, a primeira parte da licitação, classificatória, ocorre de forma aberta, com a possibilidade de ajuste das propostas em resposta às ofertas dos concorrentes. Já a segunda parte do certame, que só participarão os licitantes classificados na fase inicial, ocorre de forma fechada, preservando a confidencialidade das propostas até o encerramento do processo licitatório.</w:t>
      </w:r>
    </w:p>
    <w:p>
      <w:pPr>
        <w:pStyle w:val="Normal"/>
        <w:pBdr/>
        <w:spacing w:lineRule="auto" w:line="276" w:before="0" w:after="0"/>
        <w:jc w:val="both"/>
        <w:rPr>
          <w:lang w:val="pt-BR"/>
        </w:rPr>
      </w:pPr>
      <w:r>
        <w:rPr>
          <w:rFonts w:eastAsia="Times New Roman" w:cs="Times New Roman" w:ascii="Times New Roman" w:hAnsi="Times New Roman"/>
          <w:color w:val="00000A"/>
          <w:sz w:val="24"/>
          <w:szCs w:val="24"/>
          <w:lang w:val="pt-BR"/>
        </w:rPr>
        <w:tab/>
        <w:t>Em última etapa, o sistema abrirá a oportunidade para que o autor da oferta de valor mais baixo ou de maior percentual de desconto, e os autores das ofertas subsequentes com valores ou percentuais até 10% (dez por cento) superiores ou inferiores àquela, possam ofertar um lance final e fechado em até 5 (cinco) minutos que será sigiloso até o encerramento deste prazo.</w:t>
      </w:r>
    </w:p>
    <w:p>
      <w:pPr>
        <w:pStyle w:val="Normal"/>
        <w:pBdr/>
        <w:spacing w:lineRule="auto" w:line="276" w:before="0" w:after="0"/>
        <w:jc w:val="both"/>
        <w:rPr>
          <w:lang w:val="pt-BR"/>
        </w:rPr>
      </w:pPr>
      <w:r>
        <w:rPr>
          <w:rFonts w:eastAsia="Times New Roman" w:cs="Times New Roman" w:ascii="Times New Roman" w:hAnsi="Times New Roman"/>
          <w:color w:val="00000A"/>
          <w:sz w:val="24"/>
          <w:szCs w:val="24"/>
          <w:lang w:val="pt-BR"/>
        </w:rPr>
        <w:tab/>
        <w:t>Por se tratar de obras e serviços de engenharia comum, e não haver necessidade de averiguar a melhor técnica, em atenção a Lei 14.133/21 sobrou os modos de disputa “Aberto e Fechado” ou “Fechado e Aberto”, se verifica que “Aberto e Fechado” mais vantajoso pelo motivo que após a fase classificatória de oferta de lances, na fase fechada gera ao licitante oferte uma proposta mais qualificada. Além disso, viabiliza a composição de preços dos licitantes mais próxima da real valoração subjetiva do proponente, posto que não influenciado pelo conhecimento das demais propostas.</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ESTIMATIVAS DAS QUANTIDADES A SEREM CONTRATADAS</w:t>
      </w:r>
    </w:p>
    <w:p>
      <w:pPr>
        <w:pStyle w:val="Normal"/>
        <w:pBdr/>
        <w:spacing w:lineRule="auto" w:line="276" w:before="0" w:after="0"/>
        <w:ind w:firstLine="708"/>
        <w:jc w:val="both"/>
        <w:rPr>
          <w:lang w:val="pt-BR"/>
        </w:rPr>
      </w:pPr>
      <w:r>
        <w:rPr>
          <w:rFonts w:eastAsia="Times New Roman" w:cs="Times New Roman" w:ascii="Times New Roman" w:hAnsi="Times New Roman"/>
          <w:color w:val="000000"/>
          <w:sz w:val="24"/>
          <w:szCs w:val="24"/>
          <w:lang w:val="pt-BR"/>
        </w:rPr>
        <w:t>Estima-se a necessidade de construção de vinte campos em saibro nesta municipalidade. Considerando os quantitativos dos serviços correlacionados ao objeto que estão detalhados em planilhas em anexo, com nível de precisão adequado, devendo ser construidos conforme demandado pela Prefeitura Municipal de Arapiraca, em conformidade com as Normas, Procedimentos, Instruções e Especificações de Serviços e, Manuais Técnicos em vigor da ABNT. Os serviços, especificações, quantidades, propostos para execução das obras e Serviços em questão, conforme serviços descritos na planilha.</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mc:AlternateContent>
          <mc:Choice Requires="wps">
            <w:drawing>
              <wp:anchor behindDoc="1" distT="0" distB="0" distL="0" distR="0" simplePos="0" locked="0" layoutInCell="1" allowOverlap="1" relativeHeight="70">
                <wp:simplePos x="0" y="0"/>
                <wp:positionH relativeFrom="column">
                  <wp:posOffset>-104775</wp:posOffset>
                </wp:positionH>
                <wp:positionV relativeFrom="paragraph">
                  <wp:posOffset>168910</wp:posOffset>
                </wp:positionV>
                <wp:extent cx="5965825" cy="47625"/>
                <wp:effectExtent l="6985" t="6985" r="5715" b="5715"/>
                <wp:wrapNone/>
                <wp:docPr id="1" name="Retângulo 14"/>
                <a:graphic xmlns:a="http://schemas.openxmlformats.org/drawingml/2006/main">
                  <a:graphicData uri="http://schemas.microsoft.com/office/word/2010/wordprocessingShape">
                    <wps:wsp>
                      <wps:cNvSpPr/>
                      <wps:spPr>
                        <a:xfrm>
                          <a:off x="0" y="0"/>
                          <a:ext cx="5965920" cy="47520"/>
                        </a:xfrm>
                        <a:prstGeom prst="rect">
                          <a:avLst/>
                        </a:prstGeom>
                        <a:solidFill>
                          <a:srgbClr val="002060"/>
                        </a:solidFill>
                        <a:ln w="12600">
                          <a:solidFill>
                            <a:srgbClr val="002060"/>
                          </a:solidFill>
                          <a:miter/>
                        </a:ln>
                      </wps:spPr>
                      <wps:style>
                        <a:lnRef idx="0"/>
                        <a:fillRef idx="0"/>
                        <a:effectRef idx="0"/>
                        <a:fontRef idx="minor"/>
                      </wps:style>
                      <wps:txbx>
                        <w:txbxContent>
                          <w:p>
                            <w:pPr>
                              <w:pStyle w:val="Contedodoquadro"/>
                              <w:spacing w:lineRule="auto" w:line="240" w:before="0" w:after="0"/>
                              <w:rPr/>
                            </w:pPr>
                            <w:r>
                              <w:rPr/>
                            </w:r>
                          </w:p>
                        </w:txbxContent>
                      </wps:txbx>
                      <wps:bodyPr tIns="0" bIns="0" anchor="ctr">
                        <a:noAutofit/>
                      </wps:bodyPr>
                    </wps:wsp>
                  </a:graphicData>
                </a:graphic>
              </wp:anchor>
            </w:drawing>
          </mc:Choice>
          <mc:Fallback>
            <w:pict>
              <v:rect id="shape_0" ID="Retângulo 14" path="m0,0l-2147483645,0l-2147483645,-2147483646l0,-2147483646xe" fillcolor="#002060" stroked="t" o:allowincell="f" style="position:absolute;margin-left:-8.25pt;margin-top:13.3pt;width:469.7pt;height:3.7pt;mso-wrap-style:none;v-text-anchor:middle">
                <v:fill o:detectmouseclick="t" type="solid" color2="#ffdf9f"/>
                <v:stroke color="#002060" weight="12600" joinstyle="miter" endcap="flat"/>
                <v:textbox>
                  <w:txbxContent>
                    <w:p>
                      <w:pPr>
                        <w:pStyle w:val="Contedodoquadro"/>
                        <w:spacing w:lineRule="auto" w:line="240" w:before="0" w:after="0"/>
                        <w:rPr/>
                      </w:pPr>
                      <w:r>
                        <w:rPr/>
                      </w:r>
                    </w:p>
                  </w:txbxContent>
                </v:textbox>
                <w10:wrap type="none"/>
              </v:rect>
            </w:pict>
          </mc:Fallback>
        </mc:AlternateContent>
      </w:r>
    </w:p>
    <w:p>
      <w:pPr>
        <w:pStyle w:val="Normal"/>
        <w:numPr>
          <w:ilvl w:val="0"/>
          <w:numId w:val="1"/>
        </w:numPr>
        <w:pBdr/>
        <w:shd w:val="clear" w:color="auto" w:fill="D9E2F3"/>
        <w:spacing w:lineRule="auto" w:line="276"/>
        <w:ind w:firstLine="851" w:left="0"/>
        <w:jc w:val="both"/>
        <w:rPr>
          <w:lang w:val="pt-BR"/>
        </w:rPr>
      </w:pPr>
      <w:r>
        <w:rPr>
          <w:rFonts w:eastAsia="Times New Roman" w:cs="Times New Roman" w:ascii="Times New Roman" w:hAnsi="Times New Roman"/>
          <w:b/>
          <w:bCs/>
          <w:color w:val="000000"/>
          <w:sz w:val="24"/>
          <w:szCs w:val="24"/>
          <w:lang w:val="pt-BR"/>
        </w:rPr>
        <w:t>LEVANTAMENTO DE MERCADO E JUSTIFICATIVA DA ESCOLHA DO TIPO DE SOLUÇÃO A CONTRATAR</w:t>
      </w:r>
    </w:p>
    <w:p>
      <w:pPr>
        <w:pStyle w:val="Normal"/>
        <w:pBdr/>
        <w:spacing w:lineRule="auto" w:line="240" w:before="280" w:after="280"/>
        <w:jc w:val="both"/>
        <w:rPr>
          <w:lang w:val="pt-BR"/>
        </w:rPr>
      </w:pPr>
      <w:r>
        <w:rPr>
          <w:rFonts w:eastAsia="Times New Roman" w:cs="Times New Roman" w:ascii="Times New Roman" w:hAnsi="Times New Roman"/>
          <w:color w:val="000000"/>
          <w:sz w:val="24"/>
          <w:szCs w:val="24"/>
          <w:lang w:val="pt-BR"/>
        </w:rPr>
        <w:tab/>
        <w:t>Para atendimento das necessidades relativas à construção por demanda de campos poliesportivos em saibro em localidades diversas do município de Arapiraca/AL, foram analisadas as alternativas disponíveis no mercado e os modelos de contratação aplicáveis à Administração Pública, considerando aspectos técnicos, operacionais, econômicos e administrativos.</w:t>
      </w:r>
    </w:p>
    <w:p>
      <w:pPr>
        <w:pStyle w:val="Normal"/>
        <w:pBdr/>
        <w:spacing w:lineRule="auto" w:line="240" w:before="280" w:after="280"/>
        <w:jc w:val="both"/>
        <w:rPr>
          <w:lang w:val="pt-BR"/>
        </w:rPr>
      </w:pPr>
      <w:r>
        <w:rPr>
          <w:rFonts w:eastAsia="Times New Roman" w:cs="Times New Roman" w:ascii="Times New Roman" w:hAnsi="Times New Roman"/>
          <w:b/>
          <w:bCs/>
          <w:color w:val="000000"/>
          <w:sz w:val="24"/>
          <w:szCs w:val="24"/>
          <w:lang w:val="pt-BR"/>
        </w:rPr>
        <w:tab/>
        <w:t xml:space="preserve">Solução 1 – Licitações individualizadas para cada campo de saibro: </w:t>
      </w:r>
      <w:r>
        <w:rPr>
          <w:rFonts w:eastAsia="Times New Roman" w:cs="Times New Roman" w:ascii="Times New Roman" w:hAnsi="Times New Roman"/>
          <w:color w:val="000000"/>
          <w:sz w:val="24"/>
          <w:szCs w:val="24"/>
          <w:lang w:val="pt-BR"/>
        </w:rPr>
        <w:t>A realização de procedimentos licitatórios específicos para campo de saibro foi considerada, porém mostrou-se inadequada diante da natureza recorrente da demanda. Esse modelo implicaria maior morosidade administrativa, aumento de custos operacionais, repetição de procedimentos licitatórios e risco de descontinuidade na execução dos serviços, além de dificultar o planejamento e a padronização técnica das intervenções.</w:t>
      </w:r>
    </w:p>
    <w:p>
      <w:pPr>
        <w:pStyle w:val="Normal"/>
        <w:pBdr/>
        <w:spacing w:lineRule="auto" w:line="240" w:before="280" w:after="280"/>
        <w:jc w:val="both"/>
        <w:rPr>
          <w:lang w:val="pt-BR"/>
        </w:rPr>
      </w:pPr>
      <w:r>
        <w:rPr>
          <w:rFonts w:eastAsia="Times New Roman" w:cs="Times New Roman" w:ascii="Times New Roman" w:hAnsi="Times New Roman"/>
          <w:b/>
          <w:bCs/>
          <w:color w:val="000000"/>
          <w:sz w:val="24"/>
          <w:szCs w:val="24"/>
          <w:lang w:val="pt-BR"/>
        </w:rPr>
        <w:tab/>
        <w:t xml:space="preserve">Solução 2 – Registro de Preços para serviços padronizados de construção de campos de saibro: </w:t>
      </w:r>
      <w:r>
        <w:rPr>
          <w:rFonts w:eastAsia="Times New Roman" w:cs="Times New Roman" w:ascii="Times New Roman" w:hAnsi="Times New Roman"/>
          <w:color w:val="000000"/>
          <w:sz w:val="24"/>
          <w:szCs w:val="24"/>
          <w:lang w:val="pt-BR"/>
        </w:rPr>
        <w:t>A adoção do Sistema de Registro de Preços para a contratação de serviços padronizados de construção de campos de saibro apresenta-se como a solução mais vantajosa para a Administração Pública. Esse modelo permite maior flexibilidade na execução dos serviços, contratação sob demanda, agilidade na formalização das ordens de serviço e melhor gestão dos recursos públicos. Ademais, possibilita a padronização técnica dos serviços, a obtenção de economia de escala e o atendimento contínuo das necessidades do Município, em conformidade com o art. 82 da Lei nº 14.133/2021.</w:t>
      </w:r>
    </w:p>
    <w:p>
      <w:pPr>
        <w:pStyle w:val="Normal"/>
        <w:pBdr/>
        <w:spacing w:lineRule="auto" w:line="240" w:before="280" w:after="280"/>
        <w:jc w:val="both"/>
        <w:rPr>
          <w:lang w:val="pt-BR"/>
        </w:rPr>
      </w:pPr>
      <w:r>
        <w:rPr>
          <w:rFonts w:eastAsia="Times New Roman" w:cs="Times New Roman" w:ascii="Times New Roman" w:hAnsi="Times New Roman"/>
          <w:b/>
          <w:bCs/>
          <w:color w:val="000000"/>
          <w:sz w:val="24"/>
          <w:szCs w:val="24"/>
          <w:lang w:val="pt-BR"/>
        </w:rPr>
        <w:tab/>
        <w:t xml:space="preserve">Solução 3 – Execução direta pela Prefeitura: </w:t>
      </w:r>
      <w:r>
        <w:rPr>
          <w:rFonts w:eastAsia="Times New Roman" w:cs="Times New Roman" w:ascii="Times New Roman" w:hAnsi="Times New Roman"/>
          <w:color w:val="000000"/>
          <w:sz w:val="24"/>
          <w:szCs w:val="24"/>
          <w:lang w:val="pt-BR"/>
        </w:rPr>
        <w:t>A execução direta dos serviços pela Prefeitura foi analisada, porém considerada inviável, em razão da insuficiência de estrutura operacional, de mão de obra técnica de engenharia e de equipamentos necessários para atender, de forma simultânea e eficiente, às diversas demandas de construção de campos. Além disso, a execução direta implicaria aumento de custos fixos, maior complexidade administrativa e riscos de ineficiência, não se mostrando a alternativa mais econômica ou vantajosa para a Administração.</w:t>
      </w:r>
    </w:p>
    <w:p>
      <w:pPr>
        <w:pStyle w:val="Normal"/>
        <w:pBdr/>
        <w:spacing w:lineRule="auto" w:line="240" w:before="280" w:after="280"/>
        <w:jc w:val="both"/>
        <w:rPr>
          <w:lang w:val="pt-BR"/>
        </w:rPr>
      </w:pPr>
      <w:r>
        <w:rPr>
          <w:rFonts w:eastAsia="Times New Roman" w:cs="Times New Roman" w:ascii="Times New Roman" w:hAnsi="Times New Roman"/>
          <w:color w:val="000000"/>
          <w:sz w:val="24"/>
          <w:szCs w:val="24"/>
          <w:lang w:val="pt-BR"/>
        </w:rPr>
        <w:tab/>
        <w:t xml:space="preserve">Diante do exposto, conclui-se que a </w:t>
      </w:r>
      <w:r>
        <w:rPr>
          <w:rFonts w:eastAsia="Times New Roman" w:cs="Times New Roman" w:ascii="Times New Roman" w:hAnsi="Times New Roman"/>
          <w:b/>
          <w:bCs/>
          <w:color w:val="000000"/>
          <w:sz w:val="24"/>
          <w:szCs w:val="24"/>
          <w:lang w:val="pt-BR"/>
        </w:rPr>
        <w:t>Solução 2</w:t>
      </w:r>
      <w:r>
        <w:rPr>
          <w:rFonts w:eastAsia="Times New Roman" w:cs="Times New Roman" w:ascii="Times New Roman" w:hAnsi="Times New Roman"/>
          <w:color w:val="000000"/>
          <w:sz w:val="24"/>
          <w:szCs w:val="24"/>
          <w:lang w:val="pt-BR"/>
        </w:rPr>
        <w:t xml:space="preserve">, por meio do </w:t>
      </w:r>
      <w:r>
        <w:rPr>
          <w:rFonts w:eastAsia="Times New Roman" w:cs="Times New Roman" w:ascii="Times New Roman" w:hAnsi="Times New Roman"/>
          <w:b/>
          <w:bCs/>
          <w:color w:val="000000"/>
          <w:sz w:val="24"/>
          <w:szCs w:val="24"/>
          <w:lang w:val="pt-BR"/>
        </w:rPr>
        <w:t>Sistema de Registro de Preços</w:t>
      </w:r>
      <w:r>
        <w:rPr>
          <w:rFonts w:eastAsia="Times New Roman" w:cs="Times New Roman" w:ascii="Times New Roman" w:hAnsi="Times New Roman"/>
          <w:color w:val="000000"/>
          <w:sz w:val="24"/>
          <w:szCs w:val="24"/>
          <w:lang w:val="pt-BR"/>
        </w:rPr>
        <w:t>, com regime de execução a empreitada por preço unitário (nos termos da Lei 14.133/2021) é a alternativa que melhor atender a execução do objeto e aos princípios da eficiência, economicidade, planejamento e interesse público, sendo, portanto, a solução adotada para o presente processo.</w:t>
      </w:r>
    </w:p>
    <w:p>
      <w:pPr>
        <w:pStyle w:val="Normal"/>
        <w:numPr>
          <w:ilvl w:val="1"/>
          <w:numId w:val="1"/>
        </w:numPr>
        <w:pBdr/>
        <w:spacing w:lineRule="auto" w:line="276" w:before="0" w:after="0"/>
        <w:ind w:firstLine="851" w:left="0"/>
        <w:jc w:val="both"/>
        <w:rPr>
          <w:lang w:val="pt-BR"/>
        </w:rPr>
      </w:pPr>
      <w:r>
        <w:rPr>
          <w:rFonts w:eastAsia="Times New Roman" w:cs="Times New Roman" w:ascii="Times New Roman" w:hAnsi="Times New Roman"/>
          <w:color w:val="000000"/>
          <w:sz w:val="24"/>
          <w:szCs w:val="24"/>
          <w:lang w:val="pt-BR"/>
        </w:rPr>
        <w:t>Audiência ou consulta pública</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Não há necessidade de realizar audiência e/ ou consulta pública, pois trata-se de uma obra de engenharia a ser executada em diversas localidades dentro do município de Arapiraca, a ser usada pela população.</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ESTIMATIVA DO VALOR DA CONTRATAÇÃO</w:t>
      </w:r>
    </w:p>
    <w:p>
      <w:pPr>
        <w:pStyle w:val="Normal"/>
        <w:pBdr/>
        <w:spacing w:lineRule="auto" w:line="276"/>
        <w:ind w:firstLine="851"/>
        <w:jc w:val="both"/>
        <w:rPr>
          <w:lang w:val="pt-BR"/>
        </w:rPr>
      </w:pPr>
      <w:r>
        <w:rPr>
          <w:rFonts w:eastAsia="Times New Roman" w:cs="Times New Roman" w:ascii="Times New Roman" w:hAnsi="Times New Roman"/>
          <w:color w:val="000000"/>
          <w:sz w:val="24"/>
          <w:szCs w:val="24"/>
          <w:lang w:val="pt-BR"/>
        </w:rPr>
        <w:t xml:space="preserve">Os quantitativos, delineado em projeto, serão determinados pelo levantamento dos serviços, realizados de acordo com o estudo de Projeto básico com serviços e quantitativos levantados com base nos serviços já comumente realizados e na demanda do município. Os preços unitários adotados, foram os do SINAPI, ORSE. As especificações dos serviços, orçamento, serão elaborados baseados nas normativas vigentes. </w:t>
      </w:r>
    </w:p>
    <w:p>
      <w:pPr>
        <w:pStyle w:val="Normal"/>
        <w:pBdr/>
        <w:spacing w:lineRule="auto" w:line="276"/>
        <w:ind w:firstLine="851"/>
        <w:jc w:val="both"/>
        <w:rPr>
          <w:lang w:val="pt-BR"/>
        </w:rPr>
      </w:pPr>
      <w:r>
        <w:rPr>
          <w:rFonts w:eastAsia="Times New Roman" w:cs="Times New Roman" w:ascii="Times New Roman" w:hAnsi="Times New Roman"/>
          <w:color w:val="000000"/>
          <w:sz w:val="24"/>
          <w:szCs w:val="24"/>
          <w:lang w:val="pt-BR"/>
        </w:rPr>
        <w:t>O valor total estimado para contratação é de R$ 6.249.575,13 (seis milhoes duzentos e quarenta e nove mil, quinhetos e setenta e cinco reais e treze centavos), data base: SINAPI AL – 12/2025 e ORSE SE -11/2025; sem desoneração.</w:t>
      </w:r>
      <w:r>
        <w:rPr>
          <w:rFonts w:eastAsia="Times New Roman" w:cs="Times New Roman" w:ascii="Times New Roman" w:hAnsi="Times New Roman"/>
          <w:bCs/>
          <w:lang w:val="pt-BR"/>
        </w:rPr>
        <w:t xml:space="preserve"> Tendo como data da consolidação da planilha o dia 12 de janeiro de 2026</w:t>
      </w:r>
      <w:r>
        <w:rPr>
          <w:rFonts w:eastAsia="Times New Roman" w:cs="Times New Roman" w:ascii="Times New Roman" w:hAnsi="Times New Roman"/>
          <w:lang w:val="pt-BR"/>
        </w:rPr>
        <w:t>.</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DESCRIÇÃO DA SOLUÇÃO COMO UM TODO</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O objeto da contratação compreenderá serviços de engenharia e arquitetura urbana voltados à construção de campos.</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Todos os serviços elencados no projeto, deverão seguir fielmente as Normas Técnicas vigentes da Associação Brasileira de Normas Técnicas - ABNT, devidamente atualizadas. As intervenções deverão manter o padrão de qualidade e apresentar a melhor prática executiva;</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numPr>
          <w:ilvl w:val="1"/>
          <w:numId w:val="1"/>
        </w:numPr>
        <w:pBdr/>
        <w:spacing w:lineRule="auto" w:line="276" w:before="0" w:after="0"/>
        <w:ind w:firstLine="851" w:left="0"/>
        <w:jc w:val="both"/>
        <w:rPr>
          <w:lang w:val="pt-BR"/>
        </w:rPr>
      </w:pPr>
      <w:r>
        <w:rPr>
          <w:rFonts w:eastAsia="Times New Roman" w:cs="Times New Roman" w:ascii="Times New Roman" w:hAnsi="Times New Roman"/>
          <w:color w:val="000000"/>
          <w:sz w:val="24"/>
          <w:szCs w:val="24"/>
          <w:lang w:val="pt-BR"/>
        </w:rPr>
        <w:t>Localização da obra objeto de contratação</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Diversos bairros do município de Arapiraca, de acordo com a demanda, aprovação dos projetos e liberação dos serviços por parte da Prefeitura Municipal de Arapiraca.</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numPr>
          <w:ilvl w:val="1"/>
          <w:numId w:val="1"/>
        </w:numPr>
        <w:pBdr/>
        <w:spacing w:lineRule="auto" w:line="276" w:before="0" w:after="0"/>
        <w:ind w:firstLine="851" w:left="0"/>
        <w:jc w:val="both"/>
        <w:rPr>
          <w:lang w:val="pt-BR"/>
        </w:rPr>
      </w:pPr>
      <w:r>
        <w:rPr>
          <w:rFonts w:eastAsia="Times New Roman" w:cs="Times New Roman" w:ascii="Times New Roman" w:hAnsi="Times New Roman"/>
          <w:color w:val="000000"/>
          <w:sz w:val="24"/>
          <w:szCs w:val="24"/>
          <w:lang w:val="pt-BR"/>
        </w:rPr>
        <w:t>Titularidade das áreas:</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Os locais onde serão realizadas as intervenções serão sempre pertencentes ao Município de Arapiraca/AL e liberados conforme demandas.</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numPr>
          <w:ilvl w:val="1"/>
          <w:numId w:val="1"/>
        </w:numPr>
        <w:pBdr/>
        <w:spacing w:lineRule="auto" w:line="276" w:before="0" w:after="0"/>
        <w:ind w:firstLine="851" w:left="0"/>
        <w:jc w:val="both"/>
        <w:rPr>
          <w:lang w:val="pt-BR"/>
        </w:rPr>
      </w:pPr>
      <w:r>
        <w:rPr>
          <w:rFonts w:eastAsia="Times New Roman" w:cs="Times New Roman" w:ascii="Times New Roman" w:hAnsi="Times New Roman"/>
          <w:color w:val="000000"/>
          <w:sz w:val="24"/>
          <w:szCs w:val="24"/>
          <w:lang w:val="pt-BR"/>
        </w:rPr>
        <w:t>Natureza e finalidade da obra de engenharia</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O objeto da contratação, qual seja a construção de campos de saibro no Município de Arapiraca/AL, é caracterizada como obra de engenharia, nos termos do art.6º, item XII, da Lei 14.133/2001, tendo em vista ser a atividade, por força de lei, como privativa das profissões de arquiteto e engenheiro que implica intervenção no meio ambiente por meio de um conjunto harmônico de ações que, agregadas, formam um todo que inova o espaço físico da natureza e acarreta alteração substancial das características originais de bem imóvel.</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JUSTIFICATIVA PARA O PARCELAMENTO OU NÃO DA CONTRATAÇÃO</w:t>
      </w:r>
    </w:p>
    <w:p>
      <w:pPr>
        <w:pStyle w:val="Normal"/>
        <w:pBdr/>
        <w:spacing w:lineRule="auto" w:line="276"/>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ind w:firstLine="851"/>
        <w:jc w:val="both"/>
        <w:rPr>
          <w:lang w:val="pt-BR"/>
        </w:rPr>
      </w:pPr>
      <w:r>
        <w:rPr>
          <w:rFonts w:eastAsia="Times New Roman" w:cs="Times New Roman" w:ascii="Times New Roman" w:hAnsi="Times New Roman"/>
          <w:color w:val="000000"/>
          <w:sz w:val="24"/>
          <w:szCs w:val="24"/>
          <w:lang w:val="pt-BR"/>
        </w:rPr>
        <w:t>Trata-se de contratação de empresa de engenharia para a execução de obras e serviços de construção por demanda de campos poliesportivos em saibro em localidades diversas do município de arapiraca/al. A decisão pela não adoção do parcelamento do objeto justifica-se pelos seguintes motivos:</w:t>
      </w:r>
    </w:p>
    <w:p>
      <w:pPr>
        <w:pStyle w:val="Normal"/>
        <w:numPr>
          <w:ilvl w:val="0"/>
          <w:numId w:val="9"/>
        </w:numPr>
        <w:pBdr/>
        <w:spacing w:lineRule="auto" w:line="240" w:before="0" w:after="0"/>
        <w:ind w:firstLine="709" w:left="0"/>
        <w:jc w:val="both"/>
        <w:rPr>
          <w:lang w:val="pt-BR"/>
        </w:rPr>
      </w:pPr>
      <w:r>
        <w:rPr>
          <w:rFonts w:eastAsia="Times New Roman" w:cs="Times New Roman" w:ascii="Times New Roman" w:hAnsi="Times New Roman"/>
          <w:b/>
          <w:bCs/>
          <w:color w:val="000000"/>
          <w:sz w:val="24"/>
          <w:szCs w:val="24"/>
          <w:lang w:val="pt-BR"/>
        </w:rPr>
        <w:t>Economia de custos:</w:t>
      </w:r>
      <w:r>
        <w:rPr>
          <w:rFonts w:eastAsia="Times New Roman" w:cs="Times New Roman" w:ascii="Times New Roman" w:hAnsi="Times New Roman"/>
          <w:color w:val="000000"/>
          <w:sz w:val="24"/>
          <w:szCs w:val="24"/>
          <w:lang w:val="pt-BR"/>
        </w:rPr>
        <w:t xml:space="preserve"> O parcelamento excessivo do objeto, por meio de contratações isoladas para cada intervenção, tende a elevar os custos globais da Administração, em razão da repetição de despesas administrativas, mobilização e desmobilização de equipes, logística de canteiro, além da variação de preços ao longo do tempo. A contratação unificada, por meio de Registro de Preços, possibilita maior racionalização dos recursos públicos e melhor aproveitamento da economia de escala.</w:t>
      </w:r>
    </w:p>
    <w:p>
      <w:pPr>
        <w:pStyle w:val="Normal"/>
        <w:numPr>
          <w:ilvl w:val="0"/>
          <w:numId w:val="9"/>
        </w:numPr>
        <w:pBdr/>
        <w:spacing w:lineRule="auto" w:line="240"/>
        <w:ind w:firstLine="709" w:left="0"/>
        <w:jc w:val="both"/>
        <w:rPr>
          <w:lang w:val="pt-BR"/>
        </w:rPr>
      </w:pPr>
      <w:r>
        <w:rPr>
          <w:rFonts w:eastAsia="Times New Roman" w:cs="Times New Roman" w:ascii="Times New Roman" w:hAnsi="Times New Roman"/>
          <w:b/>
          <w:bCs/>
          <w:color w:val="000000"/>
          <w:sz w:val="24"/>
          <w:szCs w:val="24"/>
          <w:lang w:val="pt-BR"/>
        </w:rPr>
        <w:t>Eficiência na execução dos serviços:</w:t>
      </w:r>
      <w:r>
        <w:rPr>
          <w:rFonts w:eastAsia="Times New Roman" w:cs="Times New Roman" w:ascii="Times New Roman" w:hAnsi="Times New Roman"/>
          <w:color w:val="000000"/>
          <w:sz w:val="24"/>
          <w:szCs w:val="24"/>
          <w:lang w:val="pt-BR"/>
        </w:rPr>
        <w:t xml:space="preserve"> A execução dos serviços de construção, de campos de saibro de forma integrada permite melhor planejamento técnico-operacional, otimização do uso de equipamentos, insumos e mão de obra de engenharia, além de maior agilidade na emissão de ordens de serviço, assegurando respostas mais rápidas às demandas da Administração.</w:t>
      </w:r>
    </w:p>
    <w:p>
      <w:pPr>
        <w:pStyle w:val="Normal"/>
        <w:numPr>
          <w:ilvl w:val="0"/>
          <w:numId w:val="9"/>
        </w:numPr>
        <w:pBdr/>
        <w:spacing w:lineRule="auto" w:line="240"/>
        <w:ind w:firstLine="709" w:left="0"/>
        <w:jc w:val="both"/>
        <w:rPr>
          <w:lang w:val="pt-BR"/>
        </w:rPr>
      </w:pPr>
      <w:r>
        <w:rPr>
          <w:rFonts w:eastAsia="Times New Roman" w:cs="Times New Roman" w:ascii="Times New Roman" w:hAnsi="Times New Roman"/>
          <w:b/>
          <w:bCs/>
          <w:color w:val="000000"/>
          <w:sz w:val="24"/>
          <w:szCs w:val="24"/>
          <w:lang w:val="pt-BR"/>
        </w:rPr>
        <w:t>Facilidade de gestão e fiscalização:</w:t>
      </w:r>
      <w:r>
        <w:rPr>
          <w:rFonts w:eastAsia="Times New Roman" w:cs="Times New Roman" w:ascii="Times New Roman" w:hAnsi="Times New Roman"/>
          <w:color w:val="000000"/>
          <w:sz w:val="24"/>
          <w:szCs w:val="24"/>
          <w:lang w:val="pt-BR"/>
        </w:rPr>
        <w:t xml:space="preserve"> A gestão contratual centralizada simplifica o acompanhamento técnico, o controle da qualidade dos serviços, a fiscalização das intervenções e a padronização dos métodos construtivos, reduzindo riscos administrativos e facilitando a atuação dos setores responsáveis pela execução e fiscalização do contrato.</w:t>
      </w:r>
    </w:p>
    <w:p>
      <w:pPr>
        <w:pStyle w:val="Normal"/>
        <w:numPr>
          <w:ilvl w:val="0"/>
          <w:numId w:val="9"/>
        </w:numPr>
        <w:pBdr/>
        <w:spacing w:lineRule="auto" w:line="240" w:before="0" w:after="0"/>
        <w:ind w:firstLine="709" w:left="0"/>
        <w:jc w:val="both"/>
        <w:rPr>
          <w:lang w:val="pt-BR"/>
        </w:rPr>
      </w:pPr>
      <w:r>
        <w:rPr>
          <w:rFonts w:eastAsia="Times New Roman" w:cs="Times New Roman" w:ascii="Times New Roman" w:hAnsi="Times New Roman"/>
          <w:b/>
          <w:bCs/>
          <w:color w:val="000000"/>
          <w:sz w:val="24"/>
          <w:szCs w:val="24"/>
          <w:lang w:val="pt-BR"/>
        </w:rPr>
        <w:t>Atendimento ao interesse público:</w:t>
      </w:r>
      <w:r>
        <w:rPr>
          <w:rFonts w:eastAsia="Times New Roman" w:cs="Times New Roman" w:ascii="Times New Roman" w:hAnsi="Times New Roman"/>
          <w:color w:val="000000"/>
          <w:sz w:val="24"/>
          <w:szCs w:val="24"/>
          <w:lang w:val="pt-BR"/>
        </w:rPr>
        <w:t xml:space="preserve"> A contratação integrada possibilita maior celeridade na implantação, requalificação e manutenção dos espaços públicos, garantindo à população o acesso contínuo a campos de saibro, funcionais e adequados ao lazer, à convivência social e à prática de atividades físicas, promovendo melhorias diretas na qualidade de vida e na paisagem urbana do município.</w:t>
      </w:r>
    </w:p>
    <w:p>
      <w:pPr>
        <w:pStyle w:val="Normal"/>
        <w:pBdr/>
        <w:spacing w:lineRule="auto" w:line="276" w:before="0" w:after="0"/>
        <w:ind w:firstLine="851"/>
        <w:jc w:val="both"/>
        <w:rPr>
          <w:rFonts w:ascii="Times New Roman" w:hAnsi="Times New Roman" w:eastAsia="Times New Roman" w:cs="Times New Roman"/>
          <w:color w:val="000000"/>
          <w:sz w:val="24"/>
          <w:szCs w:val="24"/>
          <w:highlight w:val="yellow"/>
          <w:lang w:val="pt-BR"/>
        </w:rPr>
      </w:pPr>
      <w:r>
        <w:rPr>
          <w:rFonts w:eastAsia="Times New Roman" w:cs="Times New Roman" w:ascii="Times New Roman" w:hAnsi="Times New Roman"/>
          <w:color w:val="000000"/>
          <w:sz w:val="24"/>
          <w:szCs w:val="24"/>
          <w:highlight w:val="yellow"/>
          <w:lang w:val="pt-BR"/>
        </w:rPr>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DEMONSTRATIVO DOS RESULTADOS</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 Contratação de empresa de engenharia para a execução de serviços de construção por demanda de campos poliesportivos em saibro em localidades diversas, no Município de Arapiraca/AL assegurará melhorias significativas nos aspectos sociais, urbanos e econômicos, considerando o papel desses espaços como esporte, lazer, áreas de convivência, bem-estar e integração comunitária.</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Com a implantação nos espaços públicos contemplados, serão alcançados os seguintes resultados:</w:t>
      </w:r>
    </w:p>
    <w:p>
      <w:pPr>
        <w:pStyle w:val="Normal"/>
        <w:pBdr/>
        <w:spacing w:lineRule="auto" w:line="276" w:before="0" w:after="0"/>
        <w:ind w:firstLine="720" w:left="720"/>
        <w:jc w:val="both"/>
        <w:rPr>
          <w:lang w:val="pt-BR"/>
        </w:rPr>
      </w:pPr>
      <w:r>
        <w:rPr>
          <w:rFonts w:eastAsia="Times New Roman" w:cs="Times New Roman" w:ascii="Times New Roman" w:hAnsi="Times New Roman"/>
          <w:color w:val="000000"/>
          <w:sz w:val="24"/>
          <w:szCs w:val="24"/>
          <w:lang w:val="pt-BR"/>
        </w:rPr>
        <w:t>a) Benefício social, por meio da ampliação e qualificação de áreas destinadas ao lazer, à convivência comunitária e à prática de atividades físicas, promovendo inclusão social, melhoria da qualidade de vida da população e fortalecimento do uso democrático do espaço público;</w:t>
      </w:r>
    </w:p>
    <w:p>
      <w:pPr>
        <w:pStyle w:val="Normal"/>
        <w:pBdr/>
        <w:spacing w:lineRule="auto" w:line="276" w:before="0" w:after="0"/>
        <w:ind w:firstLine="720" w:left="720"/>
        <w:jc w:val="both"/>
        <w:rPr>
          <w:lang w:val="pt-BR"/>
        </w:rPr>
      </w:pPr>
      <w:r>
        <w:rPr>
          <w:rFonts w:eastAsia="Times New Roman" w:cs="Times New Roman" w:ascii="Times New Roman" w:hAnsi="Times New Roman"/>
          <w:color w:val="000000"/>
          <w:sz w:val="24"/>
          <w:szCs w:val="24"/>
          <w:lang w:val="pt-BR"/>
        </w:rPr>
        <w:t>b) Benefício econômico, decorrente da valorização do entorno urbano, estímulo às atividades comerciais locais, atração de investimentos e otimização dos recursos públicos, além da redução de custos futuros com manutenções corretivas e intervenções emergenciais.</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PROVIDÊNCIAS A SEREM ADOTADAS PELA ADMINISTRAÇÃO PREVIAMENTE A CELEBRAÇÃO DO CONTRATO</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No processo licitatório deverá a licitante observar as regras estabelecidas pela Lei n.14.133 de 2021 acerca da participação no procedimento. A empresa contratada deverá: </w:t>
      </w:r>
    </w:p>
    <w:p>
      <w:pPr>
        <w:pStyle w:val="Normal"/>
        <w:numPr>
          <w:ilvl w:val="0"/>
          <w:numId w:val="2"/>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Observar as diretrizes quanto a execução de obras e serviços de engenharia, bem como obedecer às normas correlatas relacionadas ao objeto da contratação;</w:t>
      </w:r>
    </w:p>
    <w:p>
      <w:pPr>
        <w:pStyle w:val="Normal"/>
        <w:numPr>
          <w:ilvl w:val="0"/>
          <w:numId w:val="2"/>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 xml:space="preserve">Executar o contrato conforme o projeto, as especificações contidas no projeto básico e seus anexos, assim como seguir os termos de sua proposta; </w:t>
      </w:r>
    </w:p>
    <w:p>
      <w:pPr>
        <w:pStyle w:val="Normal"/>
        <w:numPr>
          <w:ilvl w:val="0"/>
          <w:numId w:val="2"/>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Manter o padrão de qualidade e apresentar a melhor prática executiva;</w:t>
      </w:r>
    </w:p>
    <w:p>
      <w:pPr>
        <w:pStyle w:val="Normal"/>
        <w:numPr>
          <w:ilvl w:val="0"/>
          <w:numId w:val="2"/>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 xml:space="preserve">Comunicar ao Fiscal do Contrato qualquer ocorrência irregular que se verifique no local dos serviços; </w:t>
      </w:r>
    </w:p>
    <w:p>
      <w:pPr>
        <w:pStyle w:val="Normal"/>
        <w:numPr>
          <w:ilvl w:val="0"/>
          <w:numId w:val="2"/>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 xml:space="preserve">Prestar esclarecimentos ou informações quando solicitado pela CONTRATANTE. Será providenciado pela administração: </w:t>
      </w:r>
    </w:p>
    <w:p>
      <w:pPr>
        <w:pStyle w:val="Normal"/>
        <w:numPr>
          <w:ilvl w:val="0"/>
          <w:numId w:val="2"/>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 xml:space="preserve">Publicação do Edital; </w:t>
      </w:r>
    </w:p>
    <w:p>
      <w:pPr>
        <w:pStyle w:val="Normal"/>
        <w:numPr>
          <w:ilvl w:val="0"/>
          <w:numId w:val="2"/>
        </w:numPr>
        <w:pBdr/>
        <w:spacing w:lineRule="auto" w:line="276" w:before="0" w:after="0"/>
        <w:ind w:hanging="10" w:left="709"/>
        <w:jc w:val="both"/>
        <w:rPr>
          <w:lang w:val="pt-BR"/>
        </w:rPr>
      </w:pPr>
      <w:r>
        <w:rPr>
          <w:rFonts w:eastAsia="Times New Roman" w:cs="Times New Roman" w:ascii="Times New Roman" w:hAnsi="Times New Roman"/>
          <w:color w:val="000000"/>
          <w:sz w:val="24"/>
          <w:szCs w:val="24"/>
          <w:lang w:val="pt-BR"/>
        </w:rPr>
        <w:t>Indicação de futuro fiscal dos serviços a serem executadas com o fulcro de garantir a qualidade dos serviços, a realização das medições mensais e o cumprimento integral do contrato;</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CONTRATAÇÕES CORRELATAS E/OU INTERDEPENDENTES</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 demanda não é inedita na Administração Pública, bem como nesta munipalidade, tendo em vista que houver processo similar regido pela Lei nº 14.133, de 1º de abril de 2021.</w:t>
      </w:r>
    </w:p>
    <w:p>
      <w:pPr>
        <w:pStyle w:val="Normal"/>
        <w:numPr>
          <w:ilvl w:val="0"/>
          <w:numId w:val="4"/>
        </w:numPr>
        <w:pBdr/>
        <w:spacing w:lineRule="auto" w:line="276"/>
        <w:jc w:val="both"/>
        <w:rPr>
          <w:lang w:val="pt-BR"/>
        </w:rPr>
      </w:pPr>
      <w:r>
        <w:rPr>
          <w:rFonts w:eastAsia="Times New Roman" w:cs="Times New Roman" w:ascii="Times New Roman" w:hAnsi="Times New Roman"/>
          <w:b/>
          <w:bCs/>
          <w:color w:val="000000"/>
          <w:sz w:val="24"/>
          <w:szCs w:val="24"/>
          <w:lang w:val="pt-BR"/>
        </w:rPr>
        <w:t>Processo 5409/2025</w:t>
      </w:r>
      <w:r>
        <w:rPr>
          <w:rFonts w:eastAsia="Times New Roman" w:cs="Times New Roman" w:ascii="Times New Roman" w:hAnsi="Times New Roman"/>
          <w:b/>
          <w:bCs/>
          <w:color w:val="000000"/>
          <w:lang w:val="pt-BR"/>
        </w:rPr>
        <w:t xml:space="preserve">: </w:t>
      </w:r>
      <w:r>
        <w:rPr>
          <w:rFonts w:eastAsia="Times New Roman" w:cs="Times New Roman" w:ascii="Times New Roman" w:hAnsi="Times New Roman"/>
          <w:color w:val="000000"/>
          <w:lang w:val="pt-BR"/>
        </w:rPr>
        <w:t>CONTRATAÇÃO DE EMPRESA DE ENGENHARIA PARA PRESTAR SERVIÇOS, SOB DEMANDA, DE REQUALIFICAÇÃO DE ACESSOS VIÁRIOS, NO MUNICÍPIO DE ARAPIRACA/AL.</w:t>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DESCRIÇÃO DE POSSÍVEIS IMPACTOS AMBIENTAIS</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b/>
        <w:t>O procedimento para contratações públicas busca sempre o melhor para o interesse público, tal conceito vai além do mero cotejo de menores preços, para analisar os benefícios do processo se torna necessário avaliar os impactos positivos e negativos na aquisição quanto:</w:t>
      </w:r>
    </w:p>
    <w:p>
      <w:pPr>
        <w:pStyle w:val="Normal"/>
        <w:numPr>
          <w:ilvl w:val="0"/>
          <w:numId w:val="6"/>
        </w:numPr>
        <w:pBdr/>
        <w:spacing w:lineRule="auto" w:line="240" w:before="0" w:after="0"/>
        <w:ind w:hanging="0" w:left="851"/>
        <w:jc w:val="both"/>
        <w:rPr>
          <w:lang w:val="pt-BR"/>
        </w:rPr>
      </w:pPr>
      <w:r>
        <w:rPr>
          <w:rFonts w:eastAsia="Times New Roman" w:cs="Times New Roman" w:ascii="Times New Roman" w:hAnsi="Times New Roman"/>
          <w:color w:val="000000"/>
          <w:sz w:val="24"/>
          <w:szCs w:val="24"/>
          <w:lang w:val="pt-BR"/>
        </w:rPr>
        <w:t xml:space="preserve">A observância de normas e critérios de sustentabilidade; </w:t>
      </w:r>
    </w:p>
    <w:p>
      <w:pPr>
        <w:pStyle w:val="Normal"/>
        <w:numPr>
          <w:ilvl w:val="0"/>
          <w:numId w:val="6"/>
        </w:numPr>
        <w:pBdr/>
        <w:spacing w:lineRule="auto" w:line="240" w:before="0" w:after="0"/>
        <w:ind w:hanging="0" w:left="851"/>
        <w:jc w:val="both"/>
        <w:rPr>
          <w:lang w:val="pt-BR"/>
        </w:rPr>
      </w:pPr>
      <w:r>
        <w:rPr>
          <w:rFonts w:eastAsia="Times New Roman" w:cs="Times New Roman" w:ascii="Times New Roman" w:hAnsi="Times New Roman"/>
          <w:color w:val="000000"/>
          <w:sz w:val="24"/>
          <w:szCs w:val="24"/>
          <w:lang w:val="pt-BR"/>
        </w:rPr>
        <w:t>O emprego apurado dos recursos públicos;</w:t>
      </w:r>
    </w:p>
    <w:p>
      <w:pPr>
        <w:pStyle w:val="Normal"/>
        <w:numPr>
          <w:ilvl w:val="0"/>
          <w:numId w:val="6"/>
        </w:numPr>
        <w:pBdr/>
        <w:spacing w:lineRule="auto" w:line="240" w:before="0" w:after="0"/>
        <w:ind w:hanging="0" w:left="851"/>
        <w:jc w:val="both"/>
        <w:rPr>
          <w:lang w:val="pt-BR"/>
        </w:rPr>
      </w:pPr>
      <w:r>
        <w:rPr>
          <w:rFonts w:eastAsia="Times New Roman" w:cs="Times New Roman" w:ascii="Times New Roman" w:hAnsi="Times New Roman"/>
          <w:color w:val="000000"/>
          <w:sz w:val="24"/>
          <w:szCs w:val="24"/>
          <w:lang w:val="pt-BR"/>
        </w:rPr>
        <w:t xml:space="preserve">À conservação e gestão responsável de recursos naturais; </w:t>
      </w:r>
    </w:p>
    <w:p>
      <w:pPr>
        <w:pStyle w:val="Normal"/>
        <w:numPr>
          <w:ilvl w:val="0"/>
          <w:numId w:val="6"/>
        </w:numPr>
        <w:pBdr/>
        <w:spacing w:lineRule="auto" w:line="240" w:before="0" w:after="0"/>
        <w:ind w:hanging="0" w:left="851"/>
        <w:jc w:val="both"/>
        <w:rPr>
          <w:lang w:val="pt-BR"/>
        </w:rPr>
      </w:pPr>
      <w:r>
        <w:rPr>
          <w:rFonts w:eastAsia="Times New Roman" w:cs="Times New Roman" w:ascii="Times New Roman" w:hAnsi="Times New Roman"/>
          <w:color w:val="000000"/>
          <w:sz w:val="24"/>
          <w:szCs w:val="24"/>
          <w:lang w:val="pt-BR"/>
        </w:rPr>
        <w:t>Ao uso de agregados reciclados, sempre que existir a oferta;</w:t>
      </w:r>
    </w:p>
    <w:p>
      <w:pPr>
        <w:pStyle w:val="Normal"/>
        <w:numPr>
          <w:ilvl w:val="0"/>
          <w:numId w:val="6"/>
        </w:numPr>
        <w:pBdr/>
        <w:spacing w:lineRule="auto" w:line="240" w:before="0" w:after="0"/>
        <w:ind w:hanging="0" w:left="851"/>
        <w:jc w:val="both"/>
        <w:rPr>
          <w:lang w:val="pt-BR"/>
        </w:rPr>
      </w:pPr>
      <w:r>
        <w:rPr>
          <w:rFonts w:eastAsia="Times New Roman" w:cs="Times New Roman" w:ascii="Times New Roman" w:hAnsi="Times New Roman"/>
          <w:color w:val="000000"/>
          <w:sz w:val="24"/>
          <w:szCs w:val="24"/>
          <w:lang w:val="pt-BR"/>
        </w:rPr>
        <w:t xml:space="preserve">À remoção apropriada dos resíduos conforme normas de Controle de Transporte de Resíduos. </w:t>
      </w:r>
    </w:p>
    <w:p>
      <w:pPr>
        <w:pStyle w:val="Normal"/>
        <w:numPr>
          <w:ilvl w:val="0"/>
          <w:numId w:val="6"/>
        </w:numPr>
        <w:pBdr/>
        <w:spacing w:lineRule="auto" w:line="276" w:before="0" w:after="0"/>
        <w:ind w:hanging="0" w:left="851"/>
        <w:jc w:val="both"/>
        <w:rPr>
          <w:lang w:val="pt-BR"/>
        </w:rPr>
      </w:pPr>
      <w:r>
        <w:rPr>
          <w:rFonts w:eastAsia="Times New Roman" w:cs="Times New Roman" w:ascii="Times New Roman" w:hAnsi="Times New Roman"/>
          <w:color w:val="000000"/>
          <w:sz w:val="24"/>
          <w:szCs w:val="24"/>
          <w:lang w:val="pt-BR"/>
        </w:rPr>
        <w:t>À observância das normas de qualidade e certificação nacionais e públicas como INMETRO e ABNT.</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b/>
        <w:t xml:space="preserve">Os serviços prestados pela empresa contratada deverão fundamentar-se no uso racional de recursos e equipamentos, de forma a evitar e prevenir o desperdício de insumos e material consumidos, bem como a geração de resíduos, além do desperdício de água e consumo excessivo de energia. Sempre que possível fazer uso de energia renovável.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b/>
        <w:t xml:space="preserve">A contratada deverá ter pleno conhecimento e se responsabilizar pelo trabalho seguro das pessoas envolvidas no manuseio de ferramentas, equipamentos e produtos inflamáveis, conforme legislação em vigor do Ministério do Trabalho. Esta também se responsabilizará por ações e/ou omissões sobre os resíduos e rejeitos sólidos, líquidos e derivados, nos locais da obra, removendo e promovendo a devida destinação.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b/>
        <w:t>Por se tratar de execução de obra, a contratação em tela deverá estar, obrigatoriamente, licenciada junto ao Órgão Ambiental responsável, entretanto como trata-se de um registro de preço, onde os serviços serão executados por demanda, a Secretaria Municipal de Desenvolvimento Urbano e Meio Ambiente da Prefeitura de Arapiraca/AL emitirá as autorizações ambientais conforme a elaboração, aprovação dos projetos e solicitação da Secretaria Municipal de Infraestrutura, conforme declaração de ausência de licença ambiental anexada a este processo.</w:t>
      </w:r>
    </w:p>
    <w:p>
      <w:pPr>
        <w:pStyle w:val="Normal"/>
        <w:pBdr/>
        <w:spacing w:lineRule="auto" w:line="276" w:before="0" w:after="0"/>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numPr>
          <w:ilvl w:val="0"/>
          <w:numId w:val="1"/>
        </w:numPr>
        <w:pBdr/>
        <w:shd w:val="clear" w:color="auto" w:fill="D9E2F3"/>
        <w:spacing w:lineRule="auto" w:line="276"/>
        <w:ind w:firstLine="851" w:left="0"/>
        <w:jc w:val="both"/>
        <w:rPr>
          <w:lang w:val="pt-BR"/>
        </w:rPr>
      </w:pPr>
      <w:r>
        <w:rPr>
          <w:rFonts w:eastAsia="Times New Roman" w:cs="Times New Roman" w:ascii="Times New Roman" w:hAnsi="Times New Roman"/>
          <w:b/>
          <w:bCs/>
          <w:color w:val="000000"/>
          <w:sz w:val="24"/>
          <w:szCs w:val="24"/>
          <w:lang w:val="pt-BR"/>
        </w:rPr>
        <w:t>MAPA DE RISCOS</w:t>
      </w:r>
    </w:p>
    <w:p>
      <w:pPr>
        <w:pStyle w:val="Normal"/>
        <w:pBdr/>
        <w:spacing w:lineRule="auto" w:line="276"/>
        <w:ind w:firstLine="851"/>
        <w:jc w:val="both"/>
        <w:rPr>
          <w:lang w:val="pt-BR"/>
        </w:rPr>
      </w:pPr>
      <w:r>
        <w:rPr>
          <w:rFonts w:eastAsia="Times New Roman" w:cs="Times New Roman" w:ascii="Times New Roman" w:hAnsi="Times New Roman"/>
          <w:color w:val="000000"/>
          <w:sz w:val="24"/>
          <w:szCs w:val="24"/>
          <w:lang w:val="pt-BR"/>
        </w:rPr>
        <w:t>O mapa de risco da contratação será retratado no tópico abaixo, por meio do documento elaborado para a identificação dos principais riscos que permeiam o procedimento, contendo as ações de controle, prevenção e mitigação de impactos, materializando-se no mapa de risco da contratação.</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(Fonte: DNER, 1996)</w:t>
      </w:r>
    </w:p>
    <w:p>
      <w:pPr>
        <w:pStyle w:val="Normal"/>
        <w:pBdr/>
        <w:spacing w:lineRule="auto" w:line="276" w:before="0" w:after="103"/>
        <w:ind w:firstLine="851"/>
        <w:rPr>
          <w:lang w:val="pt-BR"/>
        </w:rPr>
      </w:pPr>
      <w:r>
        <w:rPr>
          <w:rFonts w:eastAsia="Times New Roman" w:cs="Times New Roman" w:ascii="Times New Roman" w:hAnsi="Times New Roman"/>
          <w:b/>
          <w:bCs/>
          <w:color w:val="000000"/>
          <w:sz w:val="24"/>
          <w:szCs w:val="24"/>
          <w:lang w:val="pt-BR"/>
        </w:rPr>
        <w:t>RISCO 01</w:t>
      </w:r>
    </w:p>
    <w:tbl>
      <w:tblPr>
        <w:tblStyle w:val="a"/>
        <w:tblW w:w="5000" w:type="pct"/>
        <w:jc w:val="center"/>
        <w:tblInd w:w="0" w:type="dxa"/>
        <w:tblLayout w:type="fixed"/>
        <w:tblCellMar>
          <w:top w:w="0" w:type="dxa"/>
          <w:left w:w="108" w:type="dxa"/>
          <w:bottom w:w="0" w:type="dxa"/>
          <w:right w:w="108" w:type="dxa"/>
        </w:tblCellMar>
        <w:tblLook w:firstRow="0" w:noVBand="0" w:lastRow="0" w:firstColumn="0" w:lastColumn="0" w:noHBand="0" w:val="0000"/>
      </w:tblPr>
      <w:tblGrid>
        <w:gridCol w:w="2868"/>
        <w:gridCol w:w="2694"/>
        <w:gridCol w:w="3514"/>
      </w:tblGrid>
      <w:tr>
        <w:trPr>
          <w:trHeight w:val="305" w:hRule="atLeast"/>
        </w:trPr>
        <w:tc>
          <w:tcPr>
            <w:tcW w:w="9076" w:type="dxa"/>
            <w:gridSpan w:val="3"/>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b/>
                <w:bCs/>
                <w:color w:val="000000"/>
                <w:sz w:val="18"/>
                <w:szCs w:val="18"/>
                <w:lang w:val="pt-BR"/>
              </w:rPr>
              <w:t>ANALISE DE PLANEJAMENTO DA CONTRATAÇÃO</w:t>
            </w:r>
          </w:p>
        </w:tc>
      </w:tr>
      <w:tr>
        <w:trPr>
          <w:trHeight w:val="305" w:hRule="atLeast"/>
        </w:trPr>
        <w:tc>
          <w:tcPr>
            <w:tcW w:w="2868" w:type="dxa"/>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b/>
                <w:bCs/>
                <w:color w:val="000000"/>
                <w:sz w:val="18"/>
                <w:szCs w:val="18"/>
                <w:lang w:val="pt-BR"/>
              </w:rPr>
              <w:t>Probabilidade de danos ao erário:</w:t>
            </w:r>
          </w:p>
        </w:tc>
        <w:tc>
          <w:tcPr>
            <w:tcW w:w="6208"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color w:val="000000"/>
                <w:sz w:val="18"/>
                <w:szCs w:val="18"/>
                <w:lang w:val="pt-BR"/>
              </w:rPr>
              <w:t>(X) Baixa (  ) Média (  ) Alta</w:t>
            </w:r>
          </w:p>
        </w:tc>
      </w:tr>
      <w:tr>
        <w:trPr>
          <w:trHeight w:val="305" w:hRule="atLeast"/>
        </w:trPr>
        <w:tc>
          <w:tcPr>
            <w:tcW w:w="2868" w:type="dxa"/>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b/>
                <w:bCs/>
                <w:color w:val="000000"/>
                <w:sz w:val="18"/>
                <w:szCs w:val="18"/>
                <w:lang w:val="pt-BR"/>
              </w:rPr>
              <w:t>Impacto:</w:t>
            </w:r>
          </w:p>
        </w:tc>
        <w:tc>
          <w:tcPr>
            <w:tcW w:w="6208"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color w:val="000000"/>
                <w:sz w:val="18"/>
                <w:szCs w:val="18"/>
                <w:lang w:val="pt-BR"/>
              </w:rPr>
              <w:t>(X) Baixa (  ) Média (  ) Alta</w:t>
            </w:r>
          </w:p>
        </w:tc>
      </w:tr>
      <w:tr>
        <w:trPr>
          <w:trHeight w:val="422" w:hRule="atLeast"/>
        </w:trPr>
        <w:tc>
          <w:tcPr>
            <w:tcW w:w="9076" w:type="dxa"/>
            <w:gridSpan w:val="3"/>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b/>
                <w:bCs/>
                <w:color w:val="000000"/>
                <w:sz w:val="18"/>
                <w:szCs w:val="18"/>
                <w:lang w:val="pt-BR"/>
              </w:rPr>
              <w:t>Dano</w:t>
            </w:r>
          </w:p>
        </w:tc>
      </w:tr>
      <w:tr>
        <w:trPr>
          <w:trHeight w:val="422" w:hRule="atLeast"/>
        </w:trPr>
        <w:tc>
          <w:tcPr>
            <w:tcW w:w="9076" w:type="dxa"/>
            <w:gridSpan w:val="3"/>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03"/>
              <w:ind w:firstLine="851"/>
              <w:jc w:val="center"/>
              <w:rPr>
                <w:lang w:val="pt-BR"/>
              </w:rPr>
            </w:pPr>
            <w:r>
              <w:rPr>
                <w:rFonts w:eastAsia="Times New Roman" w:cs="Times New Roman" w:ascii="Times New Roman" w:hAnsi="Times New Roman"/>
                <w:color w:val="000000"/>
                <w:sz w:val="18"/>
                <w:szCs w:val="18"/>
                <w:lang w:val="pt-BR"/>
              </w:rPr>
              <w:t>Realizar estudo inadequado, incompleto ou impreciso, passível de ocasionar prejuízos ao processo de contratação.</w:t>
            </w:r>
          </w:p>
        </w:tc>
      </w:tr>
      <w:tr>
        <w:trPr>
          <w:trHeight w:val="422" w:hRule="atLeast"/>
        </w:trPr>
        <w:tc>
          <w:tcPr>
            <w:tcW w:w="5562"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b/>
                <w:bCs/>
                <w:color w:val="000000"/>
                <w:sz w:val="18"/>
                <w:szCs w:val="18"/>
                <w:lang w:val="pt-BR"/>
              </w:rPr>
              <w:t>Ação Preventiva</w:t>
            </w:r>
          </w:p>
        </w:tc>
        <w:tc>
          <w:tcPr>
            <w:tcW w:w="351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b/>
                <w:bCs/>
                <w:color w:val="000000"/>
                <w:sz w:val="18"/>
                <w:szCs w:val="18"/>
                <w:lang w:val="pt-BR"/>
              </w:rPr>
              <w:t>Responsável</w:t>
            </w:r>
          </w:p>
        </w:tc>
      </w:tr>
      <w:tr>
        <w:trPr>
          <w:trHeight w:val="422" w:hRule="atLeast"/>
        </w:trPr>
        <w:tc>
          <w:tcPr>
            <w:tcW w:w="5562"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color w:val="000000"/>
                <w:sz w:val="18"/>
                <w:szCs w:val="18"/>
                <w:lang w:val="pt-BR"/>
              </w:rPr>
              <w:t>Constata-se que a equipe dispõe de capacitação técnica adequada e prazo suficiente para assegurar a eficiência da etapa de planejamento, bem como a regular condução do procedimento licitatório.</w:t>
            </w:r>
          </w:p>
        </w:tc>
        <w:tc>
          <w:tcPr>
            <w:tcW w:w="351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color w:val="000000"/>
                <w:sz w:val="18"/>
                <w:szCs w:val="18"/>
                <w:lang w:val="pt-BR"/>
              </w:rPr>
              <w:t>Equipe para elaboração de ETP da SME/SEMINFRA/CGL</w:t>
            </w:r>
          </w:p>
        </w:tc>
      </w:tr>
      <w:tr>
        <w:trPr>
          <w:trHeight w:val="422" w:hRule="atLeast"/>
        </w:trPr>
        <w:tc>
          <w:tcPr>
            <w:tcW w:w="5562"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b/>
                <w:bCs/>
                <w:color w:val="000000"/>
                <w:sz w:val="18"/>
                <w:szCs w:val="18"/>
                <w:lang w:val="pt-BR"/>
              </w:rPr>
              <w:t>Ação de Contingência</w:t>
            </w:r>
          </w:p>
        </w:tc>
        <w:tc>
          <w:tcPr>
            <w:tcW w:w="351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b/>
                <w:bCs/>
                <w:color w:val="000000"/>
                <w:sz w:val="18"/>
                <w:szCs w:val="18"/>
                <w:lang w:val="pt-BR"/>
              </w:rPr>
              <w:t>Responsável</w:t>
            </w:r>
          </w:p>
        </w:tc>
      </w:tr>
      <w:tr>
        <w:trPr>
          <w:trHeight w:val="892" w:hRule="atLeast"/>
        </w:trPr>
        <w:tc>
          <w:tcPr>
            <w:tcW w:w="5562"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color w:val="000000"/>
                <w:sz w:val="18"/>
                <w:szCs w:val="18"/>
                <w:lang w:val="pt-BR"/>
              </w:rPr>
              <w:t>Não houve necessidade de substituição dos membros da equipe de planejamento, uma vez que os profissionais designados possuem experiência nas áreas de Engenharia e Arquitetura.</w:t>
            </w:r>
          </w:p>
        </w:tc>
        <w:tc>
          <w:tcPr>
            <w:tcW w:w="3514"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03"/>
              <w:jc w:val="center"/>
              <w:rPr>
                <w:lang w:val="pt-BR"/>
              </w:rPr>
            </w:pPr>
            <w:r>
              <w:rPr>
                <w:rFonts w:eastAsia="Times New Roman" w:cs="Times New Roman" w:ascii="Times New Roman" w:hAnsi="Times New Roman"/>
                <w:color w:val="000000"/>
                <w:sz w:val="18"/>
                <w:szCs w:val="18"/>
                <w:lang w:val="pt-BR"/>
              </w:rPr>
              <w:t>Equipe para elaboração de ETP da SME/SEMINFRA/CGL.</w:t>
            </w:r>
          </w:p>
        </w:tc>
      </w:tr>
    </w:tbl>
    <w:p>
      <w:pPr>
        <w:pStyle w:val="Normal"/>
        <w:pBdr/>
        <w:spacing w:lineRule="auto" w:line="276" w:before="0" w:after="103"/>
        <w:ind w:firstLine="851"/>
        <w:jc w:val="center"/>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rPr>
          <w:lang w:val="pt-BR"/>
        </w:rPr>
      </w:pPr>
      <w:r>
        <w:rPr>
          <w:rFonts w:eastAsia="Times New Roman" w:cs="Times New Roman" w:ascii="Times New Roman" w:hAnsi="Times New Roman"/>
          <w:b/>
          <w:bCs/>
          <w:color w:val="000000"/>
          <w:sz w:val="24"/>
          <w:szCs w:val="24"/>
          <w:lang w:val="pt-BR"/>
        </w:rPr>
        <w:t>RISCO 02</w:t>
      </w:r>
    </w:p>
    <w:tbl>
      <w:tblPr>
        <w:tblStyle w:val="a0"/>
        <w:tblW w:w="5000" w:type="pct"/>
        <w:jc w:val="center"/>
        <w:tblInd w:w="0" w:type="dxa"/>
        <w:tblLayout w:type="fixed"/>
        <w:tblCellMar>
          <w:top w:w="0" w:type="dxa"/>
          <w:left w:w="108" w:type="dxa"/>
          <w:bottom w:w="0" w:type="dxa"/>
          <w:right w:w="108" w:type="dxa"/>
        </w:tblCellMar>
        <w:tblLook w:firstRow="0" w:noVBand="0" w:lastRow="0" w:firstColumn="0" w:lastColumn="0" w:noHBand="0" w:val="0000"/>
      </w:tblPr>
      <w:tblGrid>
        <w:gridCol w:w="2730"/>
        <w:gridCol w:w="2549"/>
        <w:gridCol w:w="3797"/>
      </w:tblGrid>
      <w:tr>
        <w:trPr>
          <w:trHeight w:val="305" w:hRule="atLeast"/>
        </w:trPr>
        <w:tc>
          <w:tcPr>
            <w:tcW w:w="9076" w:type="dxa"/>
            <w:gridSpan w:val="3"/>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FRACASSO, ANULAÇÃO OU REVOGAÇÃO NA CONCLUSÃO DA CONTRATAÇÃO</w:t>
            </w:r>
          </w:p>
        </w:tc>
      </w:tr>
      <w:tr>
        <w:trPr>
          <w:trHeight w:val="305" w:hRule="atLeast"/>
        </w:trPr>
        <w:tc>
          <w:tcPr>
            <w:tcW w:w="2730" w:type="dxa"/>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Probabilidade:</w:t>
            </w:r>
          </w:p>
        </w:tc>
        <w:tc>
          <w:tcPr>
            <w:tcW w:w="6346"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color w:val="000000"/>
                <w:sz w:val="18"/>
                <w:szCs w:val="18"/>
                <w:lang w:val="pt-BR"/>
              </w:rPr>
              <w:t>(X) Baixa (  ) Média (  ) Alta</w:t>
            </w:r>
          </w:p>
        </w:tc>
      </w:tr>
      <w:tr>
        <w:trPr>
          <w:trHeight w:val="305" w:hRule="atLeast"/>
        </w:trPr>
        <w:tc>
          <w:tcPr>
            <w:tcW w:w="2730" w:type="dxa"/>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Impacto:</w:t>
            </w:r>
          </w:p>
        </w:tc>
        <w:tc>
          <w:tcPr>
            <w:tcW w:w="6346"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color w:val="000000"/>
                <w:sz w:val="18"/>
                <w:szCs w:val="18"/>
                <w:lang w:val="pt-BR"/>
              </w:rPr>
              <w:t>(X) Baixa (  ) Média (  ) Alta</w:t>
            </w:r>
          </w:p>
        </w:tc>
      </w:tr>
      <w:tr>
        <w:trPr>
          <w:trHeight w:val="422" w:hRule="atLeast"/>
        </w:trPr>
        <w:tc>
          <w:tcPr>
            <w:tcW w:w="9076" w:type="dxa"/>
            <w:gridSpan w:val="3"/>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Dano</w:t>
            </w:r>
          </w:p>
        </w:tc>
      </w:tr>
      <w:tr>
        <w:trPr>
          <w:trHeight w:val="422" w:hRule="atLeast"/>
        </w:trPr>
        <w:tc>
          <w:tcPr>
            <w:tcW w:w="9076" w:type="dxa"/>
            <w:gridSpan w:val="3"/>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ind w:firstLine="851"/>
              <w:jc w:val="center"/>
              <w:rPr>
                <w:lang w:val="pt-BR"/>
              </w:rPr>
            </w:pPr>
            <w:r>
              <w:rPr>
                <w:rFonts w:eastAsia="Times New Roman" w:cs="Times New Roman" w:ascii="Times New Roman" w:hAnsi="Times New Roman"/>
                <w:color w:val="000000"/>
                <w:sz w:val="18"/>
                <w:szCs w:val="18"/>
                <w:lang w:val="pt-BR"/>
              </w:rPr>
              <w:t>Atrasos para início e, consequentemente, para entrega da obra.</w:t>
            </w:r>
          </w:p>
        </w:tc>
      </w:tr>
      <w:tr>
        <w:trPr>
          <w:trHeight w:val="422" w:hRule="atLeast"/>
        </w:trPr>
        <w:tc>
          <w:tcPr>
            <w:tcW w:w="5279"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Ação Preventiva</w:t>
            </w:r>
          </w:p>
        </w:tc>
        <w:tc>
          <w:tcPr>
            <w:tcW w:w="37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Responsável</w:t>
            </w:r>
          </w:p>
        </w:tc>
      </w:tr>
      <w:tr>
        <w:trPr>
          <w:trHeight w:val="422" w:hRule="atLeast"/>
        </w:trPr>
        <w:tc>
          <w:tcPr>
            <w:tcW w:w="5279"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color w:val="000000"/>
                <w:sz w:val="18"/>
                <w:szCs w:val="18"/>
                <w:lang w:val="pt-BR"/>
              </w:rPr>
              <w:t>Elaboração e análise conduzidas de forma multidisciplinar pela Administração Municipal, assegurando a comunicação eficiente e a integração entre todos os órgãos participantes e envolvidos, especialmente no processo de contratação pública, de modo a garantir o adequado andamento do presente procedimento.</w:t>
            </w:r>
          </w:p>
        </w:tc>
        <w:tc>
          <w:tcPr>
            <w:tcW w:w="37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240" w:after="160"/>
              <w:jc w:val="center"/>
              <w:rPr>
                <w:lang w:val="pt-BR"/>
              </w:rPr>
            </w:pPr>
            <w:r>
              <w:rPr>
                <w:rFonts w:eastAsia="Times New Roman" w:cs="Times New Roman" w:ascii="Times New Roman" w:hAnsi="Times New Roman"/>
                <w:color w:val="000000"/>
                <w:sz w:val="18"/>
                <w:szCs w:val="18"/>
                <w:lang w:val="pt-BR"/>
              </w:rPr>
              <w:t>SME/SEMINFRA/CGL</w:t>
            </w:r>
          </w:p>
        </w:tc>
      </w:tr>
      <w:tr>
        <w:trPr>
          <w:trHeight w:val="422" w:hRule="atLeast"/>
        </w:trPr>
        <w:tc>
          <w:tcPr>
            <w:tcW w:w="5279"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Ação de Contingência</w:t>
            </w:r>
          </w:p>
        </w:tc>
        <w:tc>
          <w:tcPr>
            <w:tcW w:w="37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Responsável</w:t>
            </w:r>
          </w:p>
        </w:tc>
      </w:tr>
      <w:tr>
        <w:trPr>
          <w:trHeight w:val="422" w:hRule="atLeast"/>
        </w:trPr>
        <w:tc>
          <w:tcPr>
            <w:tcW w:w="5279"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color w:val="000000"/>
                <w:sz w:val="18"/>
                <w:szCs w:val="18"/>
                <w:lang w:val="pt-BR"/>
              </w:rPr>
              <w:t>Gestão e Fiscalização da execução contratual de forma multidisciplinar pela Administração Municipal, garantindo a comunicação efetiva entre todos os órgãos participantes e envolvidos.</w:t>
            </w:r>
          </w:p>
        </w:tc>
        <w:tc>
          <w:tcPr>
            <w:tcW w:w="3797"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240" w:after="160"/>
              <w:jc w:val="center"/>
              <w:rPr>
                <w:lang w:val="pt-BR"/>
              </w:rPr>
            </w:pPr>
            <w:r>
              <w:rPr>
                <w:rFonts w:eastAsia="Times New Roman" w:cs="Times New Roman" w:ascii="Times New Roman" w:hAnsi="Times New Roman"/>
                <w:color w:val="000000"/>
                <w:sz w:val="18"/>
                <w:szCs w:val="18"/>
                <w:lang w:val="pt-BR"/>
              </w:rPr>
              <w:t>SEMINFRA</w:t>
            </w:r>
          </w:p>
        </w:tc>
      </w:tr>
    </w:tbl>
    <w:p>
      <w:pPr>
        <w:pStyle w:val="Normal"/>
        <w:pBdr/>
        <w:spacing w:lineRule="auto" w:line="276"/>
        <w:rPr>
          <w:lang w:val="pt-BR"/>
        </w:rPr>
      </w:pPr>
      <w:r>
        <w:rPr>
          <w:rFonts w:eastAsia="Times New Roman" w:cs="Times New Roman" w:ascii="Times New Roman" w:hAnsi="Times New Roman"/>
          <w:b/>
          <w:bCs/>
          <w:color w:val="000000"/>
          <w:sz w:val="24"/>
          <w:szCs w:val="24"/>
          <w:lang w:val="pt-BR"/>
        </w:rPr>
        <w:t>RISCO 03</w:t>
      </w:r>
    </w:p>
    <w:tbl>
      <w:tblPr>
        <w:tblStyle w:val="a1"/>
        <w:tblW w:w="5000" w:type="pct"/>
        <w:jc w:val="center"/>
        <w:tblInd w:w="0" w:type="dxa"/>
        <w:tblLayout w:type="fixed"/>
        <w:tblCellMar>
          <w:top w:w="0" w:type="dxa"/>
          <w:left w:w="108" w:type="dxa"/>
          <w:bottom w:w="0" w:type="dxa"/>
          <w:right w:w="108" w:type="dxa"/>
        </w:tblCellMar>
        <w:tblLook w:firstRow="0" w:noVBand="0" w:lastRow="0" w:firstColumn="0" w:lastColumn="0" w:noHBand="0" w:val="0000"/>
      </w:tblPr>
      <w:tblGrid>
        <w:gridCol w:w="2685"/>
        <w:gridCol w:w="2660"/>
        <w:gridCol w:w="3731"/>
      </w:tblGrid>
      <w:tr>
        <w:trPr>
          <w:trHeight w:val="305" w:hRule="atLeast"/>
        </w:trPr>
        <w:tc>
          <w:tcPr>
            <w:tcW w:w="9076" w:type="dxa"/>
            <w:gridSpan w:val="3"/>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INDISPONIBILIDADE FINANCEIRA</w:t>
            </w:r>
          </w:p>
        </w:tc>
      </w:tr>
      <w:tr>
        <w:trPr>
          <w:trHeight w:val="305" w:hRule="atLeast"/>
        </w:trPr>
        <w:tc>
          <w:tcPr>
            <w:tcW w:w="2685" w:type="dxa"/>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Probabilidade:</w:t>
            </w:r>
          </w:p>
        </w:tc>
        <w:tc>
          <w:tcPr>
            <w:tcW w:w="6391"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color w:val="000000"/>
                <w:sz w:val="18"/>
                <w:szCs w:val="18"/>
                <w:lang w:val="pt-BR"/>
              </w:rPr>
              <w:t>(X) Baixa (  ) Média (  ) Alta</w:t>
            </w:r>
          </w:p>
        </w:tc>
      </w:tr>
      <w:tr>
        <w:trPr>
          <w:trHeight w:val="305" w:hRule="atLeast"/>
        </w:trPr>
        <w:tc>
          <w:tcPr>
            <w:tcW w:w="2685" w:type="dxa"/>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Impacto:</w:t>
            </w:r>
          </w:p>
        </w:tc>
        <w:tc>
          <w:tcPr>
            <w:tcW w:w="6391" w:type="dxa"/>
            <w:gridSpan w:val="2"/>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color w:val="000000"/>
                <w:sz w:val="18"/>
                <w:szCs w:val="18"/>
                <w:lang w:val="pt-BR"/>
              </w:rPr>
              <w:t>(  ) Baixa (X) Média (  ) Alta</w:t>
            </w:r>
          </w:p>
        </w:tc>
      </w:tr>
      <w:tr>
        <w:trPr>
          <w:trHeight w:val="422" w:hRule="atLeast"/>
        </w:trPr>
        <w:tc>
          <w:tcPr>
            <w:tcW w:w="9076" w:type="dxa"/>
            <w:gridSpan w:val="3"/>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Dano</w:t>
            </w:r>
          </w:p>
        </w:tc>
      </w:tr>
      <w:tr>
        <w:trPr>
          <w:trHeight w:val="422" w:hRule="atLeast"/>
        </w:trPr>
        <w:tc>
          <w:tcPr>
            <w:tcW w:w="9076" w:type="dxa"/>
            <w:gridSpan w:val="3"/>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color w:val="000000"/>
                <w:sz w:val="18"/>
                <w:szCs w:val="18"/>
                <w:lang w:val="pt-BR"/>
              </w:rPr>
              <w:t>A não contratação do objeto licitado.</w:t>
            </w:r>
          </w:p>
        </w:tc>
      </w:tr>
      <w:tr>
        <w:trPr>
          <w:trHeight w:val="422" w:hRule="atLeast"/>
        </w:trPr>
        <w:tc>
          <w:tcPr>
            <w:tcW w:w="5345"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Ação Preventiva</w:t>
            </w:r>
          </w:p>
        </w:tc>
        <w:tc>
          <w:tcPr>
            <w:tcW w:w="373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Responsável</w:t>
            </w:r>
          </w:p>
        </w:tc>
      </w:tr>
      <w:tr>
        <w:trPr>
          <w:trHeight w:val="422" w:hRule="atLeast"/>
        </w:trPr>
        <w:tc>
          <w:tcPr>
            <w:tcW w:w="5345"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240" w:after="160"/>
              <w:jc w:val="center"/>
              <w:rPr>
                <w:lang w:val="pt-BR"/>
              </w:rPr>
            </w:pPr>
            <w:r>
              <w:rPr>
                <w:rFonts w:eastAsia="Times New Roman" w:cs="Times New Roman" w:ascii="Times New Roman" w:hAnsi="Times New Roman"/>
                <w:color w:val="000000"/>
                <w:sz w:val="18"/>
                <w:szCs w:val="18"/>
                <w:lang w:val="pt-BR"/>
              </w:rPr>
              <w:t>Planejamento financeiro para Contratações</w:t>
            </w:r>
          </w:p>
        </w:tc>
        <w:tc>
          <w:tcPr>
            <w:tcW w:w="373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240" w:after="160"/>
              <w:jc w:val="center"/>
              <w:rPr>
                <w:lang w:val="pt-BR"/>
              </w:rPr>
            </w:pPr>
            <w:r>
              <w:rPr>
                <w:rFonts w:eastAsia="Times New Roman" w:cs="Times New Roman" w:ascii="Times New Roman" w:hAnsi="Times New Roman"/>
                <w:color w:val="000000"/>
                <w:sz w:val="18"/>
                <w:szCs w:val="18"/>
                <w:lang w:val="pt-BR"/>
              </w:rPr>
              <w:t>SEC.FINAN, JUNTO A SECRETARIA DE PLANEJAMENTO E ORÇAMENTO</w:t>
            </w:r>
          </w:p>
        </w:tc>
      </w:tr>
      <w:tr>
        <w:trPr>
          <w:trHeight w:val="422" w:hRule="atLeast"/>
        </w:trPr>
        <w:tc>
          <w:tcPr>
            <w:tcW w:w="5345"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Ação de Contingência</w:t>
            </w:r>
          </w:p>
        </w:tc>
        <w:tc>
          <w:tcPr>
            <w:tcW w:w="373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b/>
                <w:bCs/>
                <w:color w:val="000000"/>
                <w:sz w:val="18"/>
                <w:szCs w:val="18"/>
                <w:lang w:val="pt-BR"/>
              </w:rPr>
              <w:t>Responsável</w:t>
            </w:r>
          </w:p>
        </w:tc>
      </w:tr>
      <w:tr>
        <w:trPr>
          <w:trHeight w:val="1031" w:hRule="atLeast"/>
        </w:trPr>
        <w:tc>
          <w:tcPr>
            <w:tcW w:w="5345" w:type="dxa"/>
            <w:gridSpan w:val="2"/>
            <w:tcBorders>
              <w:top w:val="single" w:sz="4" w:space="0" w:color="000000"/>
              <w:left w:val="single" w:sz="4" w:space="0" w:color="000000"/>
              <w:bottom w:val="single" w:sz="4" w:space="0" w:color="000000"/>
            </w:tcBorders>
            <w:shd w:color="auto" w:fill="auto" w:val="clear"/>
            <w:vAlign w:val="center"/>
          </w:tcPr>
          <w:p>
            <w:pPr>
              <w:pStyle w:val="Normal"/>
              <w:widowControl w:val="false"/>
              <w:pBdr/>
              <w:spacing w:lineRule="auto" w:line="276" w:before="0" w:after="160"/>
              <w:jc w:val="center"/>
              <w:rPr>
                <w:lang w:val="pt-BR"/>
              </w:rPr>
            </w:pPr>
            <w:r>
              <w:rPr>
                <w:rFonts w:eastAsia="Times New Roman" w:cs="Times New Roman" w:ascii="Times New Roman" w:hAnsi="Times New Roman"/>
                <w:color w:val="000000"/>
                <w:sz w:val="18"/>
                <w:szCs w:val="18"/>
                <w:lang w:val="pt-BR"/>
              </w:rPr>
              <w:t>Reprogramação de Planejamento financeiro.</w:t>
            </w:r>
          </w:p>
        </w:tc>
        <w:tc>
          <w:tcPr>
            <w:tcW w:w="3731" w:type="dxa"/>
            <w:tcBorders>
              <w:top w:val="single" w:sz="4" w:space="0" w:color="000000"/>
              <w:left w:val="single" w:sz="4" w:space="0" w:color="000000"/>
              <w:bottom w:val="single" w:sz="4" w:space="0" w:color="000000"/>
              <w:right w:val="single" w:sz="4" w:space="0" w:color="000000"/>
            </w:tcBorders>
            <w:shd w:color="auto" w:fill="auto" w:val="clear"/>
            <w:vAlign w:val="center"/>
          </w:tcPr>
          <w:p>
            <w:pPr>
              <w:pStyle w:val="Normal"/>
              <w:widowControl w:val="false"/>
              <w:pBdr/>
              <w:spacing w:lineRule="auto" w:line="276" w:before="240" w:after="160"/>
              <w:jc w:val="center"/>
              <w:rPr>
                <w:lang w:val="pt-BR"/>
              </w:rPr>
            </w:pPr>
            <w:r>
              <w:rPr>
                <w:rFonts w:eastAsia="Times New Roman" w:cs="Times New Roman" w:ascii="Times New Roman" w:hAnsi="Times New Roman"/>
                <w:color w:val="000000"/>
                <w:sz w:val="18"/>
                <w:szCs w:val="18"/>
                <w:lang w:val="pt-BR"/>
              </w:rPr>
              <w:t>SEC.FINAN, JUNTO A SECRETARIA DE PLANEJAMENTO E ORÇAMENTO</w:t>
            </w:r>
          </w:p>
        </w:tc>
      </w:tr>
    </w:tbl>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ab/>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Ressalta-se que este mapa de riscos não alcança a gestão do contrato e execução dos serviços, mas apenas o elemento essência que permeia a efetividade da formalização do procedimento da contratação.</w:t>
      </w:r>
    </w:p>
    <w:p>
      <w:pPr>
        <w:pStyle w:val="Normal"/>
        <w:pBdr/>
        <w:spacing w:lineRule="auto" w:line="276" w:before="0" w:after="0"/>
        <w:ind w:firstLine="851"/>
        <w:jc w:val="both"/>
        <w:rPr>
          <w:rFonts w:ascii="Times New Roman" w:hAnsi="Times New Roman" w:eastAsia="Times New Roman" w:cs="Times New Roman"/>
          <w:color w:val="000000"/>
          <w:sz w:val="24"/>
          <w:szCs w:val="24"/>
          <w:highlight w:val="yellow"/>
          <w:lang w:val="pt-BR"/>
        </w:rPr>
      </w:pPr>
      <w:r>
        <w:rPr>
          <w:rFonts w:eastAsia="Times New Roman" w:cs="Times New Roman" w:ascii="Times New Roman" w:hAnsi="Times New Roman"/>
          <w:color w:val="000000"/>
          <w:sz w:val="24"/>
          <w:szCs w:val="24"/>
          <w:highlight w:val="yellow"/>
          <w:lang w:val="pt-BR"/>
        </w:rPr>
      </w:r>
    </w:p>
    <w:p>
      <w:pPr>
        <w:pStyle w:val="Normal"/>
        <w:numPr>
          <w:ilvl w:val="0"/>
          <w:numId w:val="1"/>
        </w:numPr>
        <w:pBdr/>
        <w:shd w:val="clear" w:color="auto" w:fill="D9E2F3"/>
        <w:spacing w:lineRule="auto" w:line="276" w:before="0" w:after="0"/>
        <w:ind w:firstLine="851" w:left="0"/>
        <w:jc w:val="both"/>
        <w:rPr>
          <w:lang w:val="pt-BR"/>
        </w:rPr>
      </w:pPr>
      <w:r>
        <w:rPr>
          <w:rFonts w:eastAsia="Times New Roman" w:cs="Times New Roman" w:ascii="Times New Roman" w:hAnsi="Times New Roman"/>
          <w:b/>
          <w:bCs/>
          <w:color w:val="000000"/>
          <w:sz w:val="24"/>
          <w:szCs w:val="24"/>
          <w:lang w:val="pt-BR"/>
        </w:rPr>
        <w:t>POSICIONAMENTO CONCLUSIVO SOBRE A VIABILIDADE DA CONTRATAÇÃO</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As experiências anteriores indicam que a contratação apresenta viabilidade e alta probabilidade de alcance dos resultados pretendidos. </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A </w:t>
        <w:tab/>
        <w:t>SEMINFRA não possui em seu quadro de servidores profissionais habilitados, em quantitativo suficiente, para a execução da obra em questão, de modo que para suprir tal necessidade torna-se imprescindível a contratação de empresa de engenharia, para atendimento da demanda exarada.</w:t>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 xml:space="preserve"> </w:t>
      </w:r>
      <w:r>
        <w:rPr>
          <w:rFonts w:eastAsia="Times New Roman" w:cs="Times New Roman" w:ascii="Times New Roman" w:hAnsi="Times New Roman"/>
          <w:color w:val="000000"/>
          <w:sz w:val="24"/>
          <w:szCs w:val="24"/>
          <w:lang w:val="pt-BR"/>
        </w:rPr>
        <w:t>Considerando:</w:t>
      </w:r>
    </w:p>
    <w:p>
      <w:pPr>
        <w:pStyle w:val="Normal"/>
        <w:numPr>
          <w:ilvl w:val="0"/>
          <w:numId w:val="3"/>
        </w:numPr>
        <w:pBdr/>
        <w:spacing w:lineRule="auto" w:line="240" w:before="0" w:after="0"/>
        <w:ind w:firstLine="851" w:left="0"/>
        <w:jc w:val="both"/>
        <w:rPr>
          <w:lang w:val="pt-BR"/>
        </w:rPr>
      </w:pPr>
      <w:r>
        <w:rPr>
          <w:rFonts w:eastAsia="Times New Roman" w:cs="Times New Roman" w:ascii="Times New Roman" w:hAnsi="Times New Roman"/>
          <w:color w:val="000000"/>
          <w:sz w:val="24"/>
          <w:szCs w:val="24"/>
          <w:lang w:val="pt-BR"/>
        </w:rPr>
        <w:t>O provável estado de conservação dos espaços públicos de lazer e convivência do município de Arapiraca/AL, levando em conta o tempo de manutenção, e a degradação ocorrida com a usabilidade e intempéries.</w:t>
      </w:r>
    </w:p>
    <w:p>
      <w:pPr>
        <w:pStyle w:val="Normal"/>
        <w:numPr>
          <w:ilvl w:val="0"/>
          <w:numId w:val="3"/>
        </w:numPr>
        <w:pBdr/>
        <w:spacing w:lineRule="auto" w:line="240" w:before="0" w:after="0"/>
        <w:ind w:firstLine="851" w:left="0"/>
        <w:jc w:val="both"/>
        <w:rPr>
          <w:lang w:val="pt-BR"/>
        </w:rPr>
      </w:pPr>
      <w:r>
        <w:rPr>
          <w:rFonts w:eastAsia="Times New Roman" w:cs="Times New Roman" w:ascii="Times New Roman" w:hAnsi="Times New Roman"/>
          <w:color w:val="000000"/>
          <w:sz w:val="24"/>
          <w:szCs w:val="24"/>
          <w:lang w:val="pt-BR"/>
        </w:rPr>
        <w:t xml:space="preserve">As obrigações institucionais da SEMINFRA/AL; </w:t>
      </w:r>
    </w:p>
    <w:p>
      <w:pPr>
        <w:pStyle w:val="Normal"/>
        <w:numPr>
          <w:ilvl w:val="0"/>
          <w:numId w:val="3"/>
        </w:numPr>
        <w:pBdr/>
        <w:spacing w:lineRule="auto" w:line="240" w:before="0" w:after="0"/>
        <w:ind w:firstLine="851" w:left="0"/>
        <w:jc w:val="both"/>
        <w:rPr>
          <w:lang w:val="pt-BR"/>
        </w:rPr>
      </w:pPr>
      <w:r>
        <w:rPr>
          <w:rFonts w:eastAsia="Times New Roman" w:cs="Times New Roman" w:ascii="Times New Roman" w:hAnsi="Times New Roman"/>
          <w:color w:val="000000"/>
          <w:sz w:val="24"/>
          <w:szCs w:val="24"/>
          <w:lang w:val="pt-BR"/>
        </w:rPr>
        <w:t xml:space="preserve">A necessidade de garantir a trafegabilidade constante e segura dos locais em pauta; </w:t>
      </w:r>
    </w:p>
    <w:p>
      <w:pPr>
        <w:pStyle w:val="Normal"/>
        <w:numPr>
          <w:ilvl w:val="0"/>
          <w:numId w:val="3"/>
        </w:numPr>
        <w:pBdr/>
        <w:spacing w:lineRule="auto" w:line="240" w:before="0" w:after="0"/>
        <w:ind w:firstLine="851" w:left="0"/>
        <w:jc w:val="both"/>
        <w:rPr>
          <w:lang w:val="pt-BR"/>
        </w:rPr>
      </w:pPr>
      <w:r>
        <w:rPr>
          <w:rFonts w:eastAsia="Times New Roman" w:cs="Times New Roman" w:ascii="Times New Roman" w:hAnsi="Times New Roman"/>
          <w:color w:val="000000"/>
          <w:sz w:val="24"/>
          <w:szCs w:val="24"/>
          <w:lang w:val="pt-BR"/>
        </w:rPr>
        <w:t xml:space="preserve">Todo o exposto e apresentado neste Estudo Técnico Preliminar (ETP). </w:t>
      </w:r>
    </w:p>
    <w:p>
      <w:pPr>
        <w:pStyle w:val="Normal"/>
        <w:pBdr/>
        <w:spacing w:lineRule="auto" w:line="276" w:before="0" w:after="0"/>
        <w:ind w:firstLine="851"/>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ind w:firstLine="851"/>
        <w:jc w:val="both"/>
        <w:rPr>
          <w:lang w:val="pt-BR"/>
        </w:rPr>
      </w:pPr>
      <w:r>
        <w:rPr>
          <w:rFonts w:eastAsia="Times New Roman" w:cs="Times New Roman" w:ascii="Times New Roman" w:hAnsi="Times New Roman"/>
          <w:color w:val="000000"/>
          <w:sz w:val="24"/>
          <w:szCs w:val="24"/>
          <w:lang w:val="pt-BR"/>
        </w:rPr>
        <w:t>Declara-se a necessidade e viabilidade de contratação dos serviços indicados neste ETP.</w:t>
      </w:r>
    </w:p>
    <w:p>
      <w:pPr>
        <w:pStyle w:val="Normal"/>
        <w:pBdr/>
        <w:spacing w:lineRule="auto" w:line="276"/>
        <w:jc w:val="right"/>
        <w:rPr>
          <w:lang w:val="pt-BR"/>
        </w:rPr>
      </w:pPr>
      <w:r>
        <w:rPr>
          <w:rFonts w:eastAsia="Times New Roman" w:cs="Times New Roman" w:ascii="Times New Roman" w:hAnsi="Times New Roman"/>
          <w:color w:val="000000"/>
          <w:sz w:val="24"/>
          <w:szCs w:val="24"/>
          <w:lang w:val="pt-BR"/>
        </w:rPr>
        <w:t xml:space="preserve">Arapiraca/AL, 12 de janeiro de 2026.         </w:t>
      </w:r>
    </w:p>
    <w:p>
      <w:pPr>
        <w:sectPr>
          <w:headerReference w:type="even" r:id="rId3"/>
          <w:headerReference w:type="default" r:id="rId4"/>
          <w:headerReference w:type="first" r:id="rId5"/>
          <w:footerReference w:type="even" r:id="rId6"/>
          <w:footerReference w:type="default" r:id="rId7"/>
          <w:footerReference w:type="first" r:id="rId8"/>
          <w:type w:val="nextPage"/>
          <w:pgSz w:w="11906" w:h="16838"/>
          <w:pgMar w:left="1701" w:right="1128" w:gutter="0" w:header="0" w:top="1407" w:footer="0" w:bottom="851"/>
          <w:pgNumType w:start="1" w:fmt="decimal"/>
          <w:formProt w:val="false"/>
          <w:textDirection w:val="lrTb"/>
          <w:docGrid w:type="default" w:linePitch="100" w:charSpace="4096"/>
        </w:sectPr>
      </w:pPr>
    </w:p>
    <w:p>
      <w:pPr>
        <w:pStyle w:val="Normal"/>
        <w:pBdr/>
        <w:spacing w:lineRule="auto" w:line="276" w:before="0" w:after="0"/>
        <w:jc w:val="both"/>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jc w:val="both"/>
        <w:rPr>
          <w:lang w:val="pt-BR"/>
        </w:rPr>
      </w:pPr>
      <w:r>
        <w:rPr>
          <w:rFonts w:eastAsia="Times New Roman" w:cs="Times New Roman" w:ascii="Times New Roman" w:hAnsi="Times New Roman"/>
          <w:b/>
          <w:bCs/>
          <w:i/>
          <w:color w:val="000000"/>
          <w:sz w:val="24"/>
          <w:szCs w:val="24"/>
          <w:lang w:val="pt-BR"/>
        </w:rPr>
        <w:t xml:space="preserve">Equipe técnica: </w:t>
      </w:r>
    </w:p>
    <w:p>
      <w:pPr>
        <w:pStyle w:val="Normal"/>
        <w:pBdr/>
        <w:spacing w:lineRule="auto" w:line="276" w:before="0" w:after="0"/>
        <w:jc w:val="both"/>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jc w:val="both"/>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ind w:hanging="720" w:left="720"/>
        <w:rPr>
          <w:lang w:val="pt-BR"/>
        </w:rPr>
      </w:pPr>
      <w:r>
        <w:rPr>
          <w:rFonts w:eastAsia="Times New Roman" w:cs="Times New Roman" w:ascii="Times New Roman" w:hAnsi="Times New Roman"/>
          <w:color w:val="000000"/>
          <w:sz w:val="24"/>
          <w:szCs w:val="24"/>
          <w:lang w:val="pt-BR"/>
        </w:rPr>
        <w:t>Ana Karolline Santos Rocha</w:t>
      </w:r>
      <w:r>
        <w:rPr>
          <w:rFonts w:eastAsia="Times New Roman" w:cs="Times New Roman" w:ascii="Times New Roman" w:hAnsi="Times New Roman"/>
          <w:b/>
          <w:bCs/>
          <w:color w:val="000000"/>
          <w:sz w:val="24"/>
          <w:szCs w:val="24"/>
          <w:lang w:val="pt-BR"/>
        </w:rPr>
        <w:t xml:space="preserve">            Engenheira Civil</w:t>
      </w:r>
    </w:p>
    <w:p>
      <w:pPr>
        <w:pStyle w:val="Normal"/>
        <w:pBdr/>
        <w:spacing w:lineRule="auto" w:line="276" w:before="0" w:after="0"/>
        <w:ind w:hanging="720"/>
        <w:rPr>
          <w:lang w:val="pt-BR"/>
        </w:rPr>
      </w:pPr>
      <w:r>
        <w:rPr>
          <w:rFonts w:eastAsia="Times New Roman" w:cs="Times New Roman" w:ascii="Times New Roman" w:hAnsi="Times New Roman"/>
          <w:b/>
          <w:bCs/>
          <w:color w:val="000000"/>
          <w:sz w:val="24"/>
          <w:szCs w:val="24"/>
          <w:lang w:val="pt-BR"/>
        </w:rPr>
        <w:t xml:space="preserve">            </w:t>
      </w:r>
      <w:r>
        <w:rPr>
          <w:rFonts w:eastAsia="Times New Roman" w:cs="Times New Roman" w:ascii="Times New Roman" w:hAnsi="Times New Roman"/>
          <w:b/>
          <w:bCs/>
          <w:color w:val="000000"/>
          <w:sz w:val="24"/>
          <w:szCs w:val="24"/>
          <w:lang w:val="pt-BR"/>
        </w:rPr>
        <w:t>Secretaria de Infraestrutura</w:t>
      </w:r>
    </w:p>
    <w:p>
      <w:pPr>
        <w:pStyle w:val="Normal"/>
        <w:pBdr/>
        <w:spacing w:lineRule="auto" w:line="276" w:before="0" w:after="0"/>
        <w:jc w:val="center"/>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jc w:val="center"/>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jc w:val="center"/>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jc w:val="center"/>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jc w:val="center"/>
        <w:rPr>
          <w:lang w:val="pt-BR"/>
        </w:rPr>
      </w:pPr>
      <w:r>
        <w:rPr>
          <w:rFonts w:eastAsia="Times New Roman" w:cs="Times New Roman" w:ascii="Times New Roman" w:hAnsi="Times New Roman"/>
          <w:color w:val="000000"/>
          <w:sz w:val="24"/>
          <w:szCs w:val="24"/>
          <w:lang w:val="pt-BR"/>
        </w:rPr>
        <w:t xml:space="preserve">Bárbara Laryssa Duarte da Silva </w:t>
      </w:r>
    </w:p>
    <w:p>
      <w:pPr>
        <w:pStyle w:val="Normal"/>
        <w:pBdr/>
        <w:spacing w:lineRule="auto" w:line="240" w:before="0" w:after="0"/>
        <w:jc w:val="center"/>
        <w:rPr>
          <w:lang w:val="pt-BR"/>
        </w:rPr>
      </w:pPr>
      <w:r>
        <w:rPr>
          <w:rFonts w:eastAsia="Times New Roman" w:cs="Times New Roman" w:ascii="Times New Roman" w:hAnsi="Times New Roman"/>
          <w:b/>
          <w:bCs/>
          <w:color w:val="000000"/>
          <w:sz w:val="24"/>
          <w:szCs w:val="24"/>
          <w:lang w:val="pt-BR"/>
        </w:rPr>
        <w:t>Arquiteta e Urbanista</w:t>
      </w:r>
    </w:p>
    <w:p>
      <w:pPr>
        <w:pStyle w:val="Normal"/>
        <w:pBdr/>
        <w:spacing w:lineRule="auto" w:line="240" w:before="0" w:after="0"/>
        <w:jc w:val="center"/>
        <w:rPr>
          <w:lang w:val="pt-BR"/>
        </w:rPr>
      </w:pPr>
      <w:r>
        <w:rPr>
          <w:rFonts w:eastAsia="Times New Roman" w:cs="Times New Roman" w:ascii="Times New Roman" w:hAnsi="Times New Roman"/>
          <w:b/>
          <w:bCs/>
          <w:color w:val="000000"/>
          <w:sz w:val="24"/>
          <w:szCs w:val="24"/>
          <w:lang w:val="pt-BR"/>
        </w:rPr>
        <w:t>Secretaria de Infraestrutura</w:t>
      </w:r>
    </w:p>
    <w:p>
      <w:pPr>
        <w:sectPr>
          <w:type w:val="continuous"/>
          <w:pgSz w:w="11906" w:h="16838"/>
          <w:pgMar w:left="1701" w:right="1128" w:gutter="0" w:header="0" w:top="1407" w:footer="0" w:bottom="851"/>
          <w:cols w:num="2" w:space="720" w:equalWidth="true" w:sep="false"/>
          <w:formProt w:val="false"/>
          <w:textDirection w:val="lrTb"/>
          <w:docGrid w:type="default" w:linePitch="100" w:charSpace="4096"/>
        </w:sectPr>
      </w:pPr>
    </w:p>
    <w:p>
      <w:pPr>
        <w:pStyle w:val="Normal"/>
        <w:pBdr/>
        <w:spacing w:lineRule="auto" w:line="276" w:before="0" w:after="0"/>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bookmarkStart w:id="1" w:name="_heading=h.1n9nem2vj5cv"/>
      <w:bookmarkStart w:id="2" w:name="_heading=h.1n9nem2vj5cv"/>
      <w:bookmarkEnd w:id="2"/>
    </w:p>
    <w:p>
      <w:pPr>
        <w:pStyle w:val="Normal"/>
        <w:pBdr/>
        <w:spacing w:lineRule="auto" w:line="276" w:before="0" w:after="0"/>
        <w:jc w:val="both"/>
        <w:rPr>
          <w:lang w:val="pt-BR"/>
        </w:rPr>
      </w:pPr>
      <w:r>
        <w:rPr>
          <w:rFonts w:eastAsia="Times New Roman" w:cs="Times New Roman" w:ascii="Times New Roman" w:hAnsi="Times New Roman"/>
          <w:b/>
          <w:bCs/>
          <w:i/>
          <w:color w:val="000000"/>
          <w:sz w:val="24"/>
          <w:szCs w:val="24"/>
          <w:lang w:val="pt-BR"/>
        </w:rPr>
        <w:t>Equipe de Apoio Administrativo</w:t>
      </w:r>
      <w:r>
        <w:rPr>
          <w:rFonts w:eastAsia="Times New Roman" w:cs="Times New Roman" w:ascii="Times New Roman" w:hAnsi="Times New Roman"/>
          <w:i/>
          <w:color w:val="000000"/>
          <w:sz w:val="24"/>
          <w:szCs w:val="24"/>
          <w:lang w:val="pt-BR"/>
        </w:rPr>
        <w:t>:</w:t>
      </w:r>
    </w:p>
    <w:p>
      <w:pPr>
        <w:sectPr>
          <w:type w:val="continuous"/>
          <w:pgSz w:w="11906" w:h="16838"/>
          <w:pgMar w:left="1701" w:right="1128" w:gutter="0" w:header="0" w:top="1407" w:footer="0" w:bottom="851"/>
          <w:formProt w:val="false"/>
          <w:textDirection w:val="lrTb"/>
          <w:docGrid w:type="default" w:linePitch="100" w:charSpace="4096"/>
        </w:sectPr>
      </w:pPr>
    </w:p>
    <w:p>
      <w:pPr>
        <w:pStyle w:val="Normal"/>
        <w:pBdr/>
        <w:spacing w:lineRule="auto" w:line="276" w:before="0" w:after="0"/>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40" w:before="0" w:after="0"/>
        <w:rPr>
          <w:lang w:val="pt-BR"/>
        </w:rPr>
      </w:pPr>
      <w:r>
        <w:rPr>
          <w:rFonts w:eastAsia="Times New Roman" w:cs="Times New Roman" w:ascii="Times New Roman" w:hAnsi="Times New Roman"/>
          <w:color w:val="000000"/>
          <w:sz w:val="24"/>
          <w:szCs w:val="24"/>
          <w:lang w:val="pt-BR"/>
        </w:rPr>
        <w:t>Sileide Barbosa do Nascimento</w:t>
      </w:r>
    </w:p>
    <w:p>
      <w:pPr>
        <w:pStyle w:val="Normal"/>
        <w:pBdr/>
        <w:spacing w:lineRule="auto" w:line="240" w:before="0" w:after="0"/>
        <w:rPr>
          <w:lang w:val="pt-BR"/>
        </w:rPr>
      </w:pPr>
      <w:r>
        <w:rPr>
          <w:rFonts w:eastAsia="Times New Roman" w:cs="Times New Roman" w:ascii="Times New Roman" w:hAnsi="Times New Roman"/>
          <w:b/>
          <w:bCs/>
          <w:color w:val="000000"/>
          <w:sz w:val="24"/>
          <w:szCs w:val="24"/>
          <w:lang w:val="pt-BR"/>
        </w:rPr>
        <w:t>Secretaria de Infraestrutura</w:t>
      </w:r>
    </w:p>
    <w:p>
      <w:pPr>
        <w:pStyle w:val="Normal"/>
        <w:pBdr/>
        <w:spacing w:lineRule="auto" w:line="240" w:before="0" w:after="0"/>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rPr>
          <w:rFonts w:ascii="Times New Roman" w:hAnsi="Times New Roman" w:eastAsia="Times New Roman" w:cs="Times New Roman"/>
          <w:b/>
          <w:bCs/>
          <w:color w:val="000000"/>
          <w:sz w:val="24"/>
          <w:szCs w:val="24"/>
          <w:lang w:val="pt-BR"/>
        </w:rPr>
      </w:pPr>
      <w:r>
        <w:rPr>
          <w:rFonts w:eastAsia="Times New Roman" w:cs="Times New Roman" w:ascii="Times New Roman" w:hAnsi="Times New Roman"/>
          <w:b/>
          <w:bCs/>
          <w:color w:val="000000"/>
          <w:sz w:val="24"/>
          <w:szCs w:val="24"/>
          <w:lang w:val="pt-BR"/>
        </w:rPr>
      </w:r>
    </w:p>
    <w:p>
      <w:pPr>
        <w:pStyle w:val="Normal"/>
        <w:pBdr/>
        <w:spacing w:lineRule="auto" w:line="276" w:before="0" w:after="0"/>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sectPr>
          <w:type w:val="continuous"/>
          <w:pgSz w:w="11906" w:h="16838"/>
          <w:pgMar w:left="1701" w:right="1128" w:gutter="0" w:header="0" w:top="1407" w:footer="0" w:bottom="851"/>
          <w:cols w:num="2" w:space="280" w:equalWidth="true" w:sep="false"/>
          <w:formProt w:val="false"/>
          <w:textDirection w:val="lrTb"/>
          <w:docGrid w:type="default" w:linePitch="100" w:charSpace="4096"/>
        </w:sectPr>
      </w:pPr>
    </w:p>
    <w:p>
      <w:pPr>
        <w:pStyle w:val="Normal"/>
        <w:pBdr/>
        <w:spacing w:lineRule="auto" w:line="276" w:before="0" w:after="0"/>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40" w:before="0" w:after="0"/>
        <w:rPr>
          <w:lang w:val="pt-BR"/>
        </w:rPr>
      </w:pPr>
      <w:r>
        <w:rPr>
          <w:rFonts w:eastAsia="Times New Roman" w:cs="Times New Roman" w:ascii="Times New Roman" w:hAnsi="Times New Roman"/>
          <w:color w:val="000000"/>
          <w:sz w:val="24"/>
          <w:szCs w:val="24"/>
          <w:lang w:val="pt-BR"/>
        </w:rPr>
        <w:t>Guilherme ferreira Matos</w:t>
      </w:r>
    </w:p>
    <w:p>
      <w:pPr>
        <w:pStyle w:val="Normal"/>
        <w:pBdr/>
        <w:spacing w:lineRule="auto" w:line="240" w:before="0" w:after="0"/>
        <w:rPr>
          <w:lang w:val="pt-BR"/>
        </w:rPr>
      </w:pPr>
      <w:r>
        <w:rPr>
          <w:rFonts w:eastAsia="Times New Roman" w:cs="Times New Roman" w:ascii="Times New Roman" w:hAnsi="Times New Roman"/>
          <w:b/>
          <w:color w:val="000000"/>
          <w:sz w:val="24"/>
          <w:szCs w:val="24"/>
          <w:lang w:val="pt-BR"/>
        </w:rPr>
        <w:t>Secretaria Municipal de Esporte</w:t>
      </w:r>
    </w:p>
    <w:p>
      <w:pPr>
        <w:pStyle w:val="Normal"/>
        <w:pBdr/>
        <w:spacing w:lineRule="auto" w:line="240" w:before="0" w:after="0"/>
        <w:rPr>
          <w:rFonts w:ascii="Times New Roman" w:hAnsi="Times New Roman" w:eastAsia="Times New Roman" w:cs="Times New Roman"/>
          <w:b/>
          <w:color w:val="000000"/>
          <w:sz w:val="24"/>
          <w:szCs w:val="24"/>
          <w:lang w:val="pt-BR"/>
        </w:rPr>
      </w:pPr>
      <w:r>
        <w:rPr>
          <w:rFonts w:eastAsia="Times New Roman" w:cs="Times New Roman" w:ascii="Times New Roman" w:hAnsi="Times New Roman"/>
          <w:b/>
          <w:color w:val="000000"/>
          <w:sz w:val="24"/>
          <w:szCs w:val="24"/>
          <w:lang w:val="pt-BR"/>
        </w:rPr>
      </w:r>
    </w:p>
    <w:p>
      <w:pPr>
        <w:pStyle w:val="Normal"/>
        <w:pBdr/>
        <w:spacing w:lineRule="auto" w:line="276" w:before="0" w:after="0"/>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rPr>
          <w:lang w:val="pt-BR"/>
        </w:rPr>
      </w:pPr>
      <w:r>
        <w:rPr>
          <w:rFonts w:eastAsia="Times New Roman" w:cs="Times New Roman" w:ascii="Times New Roman" w:hAnsi="Times New Roman"/>
          <w:color w:val="000000"/>
          <w:sz w:val="24"/>
          <w:szCs w:val="24"/>
          <w:lang w:val="pt-BR"/>
        </w:rPr>
        <w:t xml:space="preserve">Estheffany Kelly Lima Costa </w:t>
      </w:r>
    </w:p>
    <w:p>
      <w:pPr>
        <w:pStyle w:val="Normal"/>
        <w:pBdr/>
        <w:spacing w:lineRule="auto" w:line="276" w:before="0" w:after="0"/>
        <w:rPr>
          <w:lang w:val="pt-BR"/>
        </w:rPr>
      </w:pPr>
      <w:r>
        <w:rPr>
          <w:rFonts w:eastAsia="Times New Roman" w:cs="Times New Roman" w:ascii="Times New Roman" w:hAnsi="Times New Roman"/>
          <w:b/>
          <w:color w:val="000000"/>
          <w:sz w:val="24"/>
          <w:szCs w:val="24"/>
          <w:lang w:val="pt-BR"/>
        </w:rPr>
        <w:t>Coordenação - Geral de Licitações</w:t>
      </w:r>
    </w:p>
    <w:p>
      <w:pPr>
        <w:pStyle w:val="Normal"/>
        <w:pBdr/>
        <w:spacing w:lineRule="auto" w:line="276" w:before="0" w:after="0"/>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jc w:val="both"/>
        <w:rPr>
          <w:rFonts w:ascii="Times New Roman" w:hAnsi="Times New Roman" w:eastAsia="Times New Roman" w:cs="Times New Roman"/>
          <w:color w:val="000000"/>
          <w:sz w:val="24"/>
          <w:szCs w:val="24"/>
          <w:lang w:val="pt-BR"/>
        </w:rPr>
      </w:pPr>
      <w:r>
        <w:rPr>
          <w:rFonts w:eastAsia="Times New Roman" w:cs="Times New Roman" w:ascii="Times New Roman" w:hAnsi="Times New Roman"/>
          <w:color w:val="000000"/>
          <w:sz w:val="24"/>
          <w:szCs w:val="24"/>
          <w:lang w:val="pt-BR"/>
        </w:rPr>
      </w:r>
    </w:p>
    <w:p>
      <w:pPr>
        <w:pStyle w:val="Normal"/>
        <w:pBdr/>
        <w:spacing w:lineRule="auto" w:line="276" w:before="0" w:after="0"/>
        <w:jc w:val="center"/>
        <w:rPr>
          <w:lang w:val="pt-BR"/>
        </w:rPr>
      </w:pPr>
      <w:r>
        <w:rPr>
          <w:rFonts w:eastAsia="Times New Roman" w:cs="Times New Roman" w:ascii="Times New Roman" w:hAnsi="Times New Roman"/>
          <w:b/>
          <w:bCs/>
          <w:color w:val="000000"/>
          <w:sz w:val="24"/>
          <w:szCs w:val="24"/>
          <w:lang w:val="pt-BR"/>
        </w:rPr>
        <w:t>Evelyn Nayara Bezerra da Silva</w:t>
      </w:r>
    </w:p>
    <w:p>
      <w:pPr>
        <w:pStyle w:val="Normal"/>
        <w:pBdr/>
        <w:spacing w:lineRule="auto" w:line="276" w:before="0" w:after="0"/>
        <w:jc w:val="center"/>
        <w:rPr>
          <w:lang w:val="pt-BR"/>
        </w:rPr>
      </w:pPr>
      <w:r>
        <w:rPr>
          <w:rFonts w:eastAsia="Times New Roman" w:cs="Times New Roman" w:ascii="Times New Roman" w:hAnsi="Times New Roman"/>
          <w:color w:val="000000"/>
          <w:sz w:val="24"/>
          <w:szCs w:val="24"/>
          <w:lang w:val="pt-BR"/>
        </w:rPr>
        <w:t>Engenheira Civil</w:t>
      </w:r>
    </w:p>
    <w:p>
      <w:pPr>
        <w:pStyle w:val="Normal"/>
        <w:pBdr/>
        <w:spacing w:lineRule="auto" w:line="276" w:before="0" w:after="0"/>
        <w:jc w:val="center"/>
        <w:rPr>
          <w:lang w:val="pt-BR"/>
        </w:rPr>
      </w:pPr>
      <w:bookmarkStart w:id="3" w:name="_heading=h.2seti3992nvh"/>
      <w:bookmarkEnd w:id="3"/>
      <w:r>
        <w:rPr>
          <w:rFonts w:eastAsia="Times New Roman" w:cs="Times New Roman" w:ascii="Times New Roman" w:hAnsi="Times New Roman"/>
          <w:color w:val="000000"/>
          <w:sz w:val="24"/>
          <w:szCs w:val="24"/>
          <w:lang w:val="pt-BR"/>
        </w:rPr>
        <w:t>Coordenadora da Equipe de Planejamento</w:t>
      </w:r>
    </w:p>
    <w:sectPr>
      <w:type w:val="continuous"/>
      <w:pgSz w:w="11906" w:h="16838"/>
      <w:pgMar w:left="1701" w:right="1128" w:gutter="0" w:header="0" w:top="1407" w:footer="0" w:bottom="851"/>
      <w:formProt w:val="false"/>
      <w:textDirection w:val="lrTb"/>
      <w:docGrid w:type="default" w:linePitch="10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Calibri">
    <w:charset w:val="00"/>
    <w:family w:val="roman"/>
    <w:pitch w:val="variable"/>
    <w:embedRegular r:id="rId14" w:fontKey="{0E014A78-CABC-4EF0-12AC-5CD89AEFDE0E}"/>
  </w:font>
  <w:font w:name="Symbol">
    <w:charset w:val="00"/>
    <w:family w:val="roman"/>
    <w:pitch w:val="variable"/>
    <w:embedRegular r:id="rId5" w:fontKey="{05014A78-CABC-4EF0-12AC-5CD89AEFDE05}"/>
  </w:font>
  <w:font w:name="Courier New">
    <w:charset w:val="00"/>
    <w:family w:val="roman"/>
    <w:pitch w:val="variable"/>
    <w:embedRegular r:id="rId15" w:fontKey="{0F014A78-CABC-4EF0-12AC-5CD89AEFDE0F}"/>
  </w:font>
  <w:font w:name="Wingdings">
    <w:charset w:val="00"/>
    <w:family w:val="roman"/>
    <w:pitch w:val="variable"/>
    <w:embedRegular r:id="rId16" w:fontKey="{10014A78-CABC-4EF0-12AC-5CD89AEFDE10}"/>
    <w:embedBold r:id="rId17" w:fontKey="{11014A78-CABC-4EF0-12AC-5CD89AEFDE11}"/>
  </w:font>
  <w:font w:name="Tahoma">
    <w:charset w:val="00"/>
    <w:family w:val="roman"/>
    <w:pitch w:val="variable"/>
    <w:embedRegular r:id="rId18" w:fontKey="{12014A78-CABC-4EF0-12AC-5CD89AEFDE12}"/>
  </w:font>
  <w:font w:name="Liberation Sans">
    <w:altName w:val="Arial"/>
    <w:charset w:val="00"/>
    <w:family w:val="swiss"/>
    <w:pitch w:val="variable"/>
    <w:embedRegular r:id="rId19" w:fontKey="{13014A78-CABC-4EF0-12AC-5CD89AEFDE13}"/>
    <w:embedBold r:id="rId20" w:fontKey="{14014A78-CABC-4EF0-12AC-5CD89AEFDE14}"/>
    <w:embedItalic r:id="rId21" w:fontKey="{15014A78-CABC-4EF0-12AC-5CD89AEFDE15}"/>
    <w:embedBoldItalic r:id="rId22" w:fontKey="{16014A78-CABC-4EF0-12AC-5CD89AEFDE16}"/>
  </w:font>
  <w:font w:name="Liberation Sans">
    <w:altName w:val="Arial"/>
    <w:charset w:val="00"/>
    <w:family w:val="roman"/>
    <w:pitch w:val="variable"/>
  </w:font>
  <w:font w:name="Georgia">
    <w:charset w:val="00"/>
    <w:family w:val="roman"/>
    <w:pitch w:val="variable"/>
    <w:embedRegular r:id="rId23" w:fontKey="{17014A78-CABC-4EF0-12AC-5CD89AEFDE17}"/>
    <w:embedBold r:id="rId24" w:fontKey="{18014A78-CABC-4EF0-12AC-5CD89AEFDE18}"/>
    <w:embedItalic r:id="rId25" w:fontKey="{19014A78-CABC-4EF0-12AC-5CD89AEFDE19}"/>
    <w:embedBoldItalic r:id="rId26" w:fontKey="{1A014A78-CABC-4EF0-12AC-5CD89AEFDE1A}"/>
  </w:font>
  <w:font w:name="Arial">
    <w:charset w:val="00"/>
    <w:family w:val="roman"/>
    <w:pitch w:val="variable"/>
  </w:font>
  <w:font w:name="Noto Sans Symbols">
    <w:charset w:val="01"/>
    <w:family w:val="swiss"/>
    <w:pitch w:val="default"/>
  </w:font>
  <w:font w:name="Courier New">
    <w:charset w:val="01"/>
    <w:family w:val="modern"/>
    <w:pitch w:val="fixed"/>
    <w:embedRegular r:id="rId27" w:fontKey="{1B014A78-CABC-4EF0-12AC-5CD89AEFDE1B}"/>
    <w:embedBold r:id="rId28" w:fontKey="{1C014A78-CABC-4EF0-12AC-5CD89AEFDE1C}"/>
    <w:embedItalic r:id="rId29" w:fontKey="{1D014A78-CABC-4EF0-12AC-5CD89AEFDE1D}"/>
    <w:embedBoldItalic r:id="rId15" w:fontKey="{0F014A78-CABC-4EF0-12AC-5CD89AEFDE0F}"/>
  </w:font>
  <w:font w:name="OpenSymbol">
    <w:altName w:val="Arial Unicode MS"/>
    <w:charset w:val="01"/>
    <w:family w:val="auto"/>
    <w:pitch w:val="variable"/>
    <w:embedRegular r:id="rId30" w:fontKey="{1E014A78-CABC-4EF0-12AC-5CD89AEFDE1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240" w:before="0" w:after="0"/>
      <w:jc w:val="right"/>
      <w:rPr>
        <w:rFonts w:ascii="Arial" w:hAnsi="Arial" w:eastAsia="Arial" w:cs="Arial"/>
        <w:b/>
        <w:bCs/>
        <w:color w:val="000000"/>
        <w:sz w:val="15"/>
        <w:szCs w:val="15"/>
      </w:rPr>
    </w:pPr>
    <w:r>
      <w:rPr>
        <w:color w:val="000000"/>
      </w:rPr>
      <w:t xml:space="preserve">Página </w:t>
    </w:r>
    <w:r>
      <w:rPr>
        <w:color w:val="000000"/>
      </w:rPr>
      <w:fldChar w:fldCharType="begin"/>
    </w:r>
    <w:r>
      <w:rPr>
        <w:color w:val="000000"/>
      </w:rPr>
      <w:instrText xml:space="preserve"> PAGE </w:instrText>
    </w:r>
    <w:r>
      <w:rPr>
        <w:color w:val="000000"/>
      </w:rPr>
      <w:fldChar w:fldCharType="separate"/>
    </w:r>
    <w:r>
      <w:rPr>
        <w:color w:val="000000"/>
      </w:rPr>
      <w:t>13</w:t>
    </w:r>
    <w:r>
      <w:rPr>
        <w:color w:val="000000"/>
      </w:rPr>
      <w:fldChar w:fldCharType="end"/>
    </w:r>
    <w:r>
      <w:rPr>
        <w:color w:val="000000"/>
      </w:rPr>
      <w:t xml:space="preserve"> de </w:t>
    </w:r>
    <w:r>
      <w:rPr>
        <w:color w:val="000000"/>
      </w:rPr>
      <w:fldChar w:fldCharType="begin"/>
    </w:r>
    <w:r>
      <w:rPr>
        <w:color w:val="000000"/>
      </w:rPr>
      <w:instrText xml:space="preserve"> NUMPAGES </w:instrText>
    </w:r>
    <w:r>
      <w:rPr>
        <w:color w:val="000000"/>
      </w:rPr>
      <w:fldChar w:fldCharType="separate"/>
    </w:r>
    <w:r>
      <w:rPr>
        <w:color w:val="000000"/>
      </w:rPr>
      <w:t>13</w:t>
    </w:r>
    <w:r>
      <w:rPr>
        <w:color w:val="000000"/>
      </w:rPr>
      <w:fldChar w:fldCharType="end"/>
    </w:r>
  </w:p>
  <w:p>
    <w:pPr>
      <w:pStyle w:val="Normal"/>
      <w:pBdr/>
      <w:tabs>
        <w:tab w:val="clear" w:pos="720"/>
        <w:tab w:val="center" w:pos="4252" w:leader="none"/>
        <w:tab w:val="right" w:pos="8504" w:leader="none"/>
      </w:tabs>
      <w:spacing w:lineRule="auto" w:line="240" w:before="0" w:after="0"/>
      <w:jc w:val="center"/>
      <w:rPr>
        <w:rFonts w:ascii="Arial" w:hAnsi="Arial" w:eastAsia="Arial" w:cs="Arial"/>
        <w:color w:val="000000"/>
        <w:sz w:val="15"/>
        <w:szCs w:val="15"/>
      </w:rPr>
    </w:pPr>
    <w:r>
      <w:rPr>
        <w:rFonts w:eastAsia="Arial" w:cs="Arial" w:ascii="Arial" w:hAnsi="Arial"/>
        <w:b/>
        <w:bCs/>
        <w:color w:val="000000"/>
        <w:sz w:val="15"/>
        <w:szCs w:val="15"/>
      </w:rPr>
      <w:t>CENTRO ADMINISTRATIVO ANTÔNIO ROCHA</w:t>
    </w:r>
  </w:p>
  <w:p>
    <w:pPr>
      <w:pStyle w:val="Normal"/>
      <w:pBdr/>
      <w:tabs>
        <w:tab w:val="clear" w:pos="720"/>
        <w:tab w:val="center" w:pos="4252" w:leader="none"/>
        <w:tab w:val="right" w:pos="8504" w:leader="none"/>
      </w:tabs>
      <w:spacing w:lineRule="auto" w:line="240" w:before="0" w:after="0"/>
      <w:jc w:val="center"/>
      <w:rPr>
        <w:rFonts w:ascii="Arial" w:hAnsi="Arial" w:eastAsia="Arial" w:cs="Arial"/>
        <w:color w:val="000000"/>
        <w:sz w:val="15"/>
        <w:szCs w:val="15"/>
      </w:rPr>
    </w:pPr>
    <w:r>
      <w:rPr>
        <w:rFonts w:eastAsia="Arial" w:cs="Arial" w:ascii="Arial" w:hAnsi="Arial"/>
        <w:color w:val="000000"/>
        <w:sz w:val="15"/>
        <w:szCs w:val="15"/>
      </w:rPr>
      <w:t>Rua Samaritana, nº 1.185 – Bairro Santa Edwiges – CEP 57.311-180</w:t>
    </w:r>
  </w:p>
  <w:p>
    <w:pPr>
      <w:pStyle w:val="Normal"/>
      <w:pBdr/>
      <w:tabs>
        <w:tab w:val="clear" w:pos="720"/>
        <w:tab w:val="center" w:pos="4252" w:leader="none"/>
        <w:tab w:val="right" w:pos="8504" w:leader="none"/>
      </w:tabs>
      <w:spacing w:lineRule="auto" w:line="240" w:before="0" w:after="0"/>
      <w:jc w:val="center"/>
      <w:rPr>
        <w:rFonts w:ascii="Arial" w:hAnsi="Arial" w:eastAsia="Arial" w:cs="Arial"/>
        <w:color w:val="000000"/>
        <w:sz w:val="15"/>
        <w:szCs w:val="15"/>
      </w:rPr>
    </w:pPr>
    <w:r>
      <w:rPr>
        <w:rFonts w:eastAsia="Arial" w:cs="Arial" w:ascii="Arial" w:hAnsi="Arial"/>
        <w:color w:val="000000"/>
        <w:sz w:val="15"/>
        <w:szCs w:val="15"/>
      </w:rPr>
      <w:t>CNPJ nº 12.198.693/0001-58</w:t>
    </w:r>
  </w:p>
  <w:p>
    <w:pPr>
      <w:pStyle w:val="Normal"/>
      <w:pBdr/>
      <w:spacing w:lineRule="auto" w:line="240" w:before="0" w:after="0"/>
      <w:rPr>
        <w:rFonts w:ascii="Arial" w:hAnsi="Arial" w:eastAsia="Arial" w:cs="Arial"/>
        <w:color w:val="000000"/>
        <w:sz w:val="15"/>
        <w:szCs w:val="15"/>
      </w:rPr>
    </w:pPr>
    <w:r>
      <w:rPr>
        <w:rFonts w:eastAsia="Arial" w:cs="Arial" w:ascii="Arial" w:hAnsi="Arial"/>
        <w:color w:val="000000"/>
        <w:sz w:val="15"/>
        <w:szCs w:val="15"/>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spacing w:lineRule="auto" w:line="240" w:before="0" w:after="0"/>
      <w:jc w:val="right"/>
      <w:rPr>
        <w:rFonts w:ascii="Arial" w:hAnsi="Arial" w:eastAsia="Arial" w:cs="Arial"/>
        <w:b/>
        <w:bCs/>
        <w:color w:val="000000"/>
        <w:sz w:val="15"/>
        <w:szCs w:val="15"/>
      </w:rPr>
    </w:pPr>
    <w:r>
      <w:rPr>
        <w:color w:val="000000"/>
      </w:rPr>
      <w:t xml:space="preserve">Página </w:t>
    </w:r>
    <w:r>
      <w:rPr>
        <w:color w:val="000000"/>
      </w:rPr>
      <w:fldChar w:fldCharType="begin"/>
    </w:r>
    <w:r>
      <w:rPr>
        <w:color w:val="000000"/>
      </w:rPr>
      <w:instrText xml:space="preserve"> PAGE </w:instrText>
    </w:r>
    <w:r>
      <w:rPr>
        <w:color w:val="000000"/>
      </w:rPr>
      <w:fldChar w:fldCharType="separate"/>
    </w:r>
    <w:r>
      <w:rPr>
        <w:color w:val="000000"/>
      </w:rPr>
      <w:t>13</w:t>
    </w:r>
    <w:r>
      <w:rPr>
        <w:color w:val="000000"/>
      </w:rPr>
      <w:fldChar w:fldCharType="end"/>
    </w:r>
    <w:r>
      <w:rPr>
        <w:color w:val="000000"/>
      </w:rPr>
      <w:t xml:space="preserve"> de </w:t>
    </w:r>
    <w:r>
      <w:rPr>
        <w:color w:val="000000"/>
      </w:rPr>
      <w:fldChar w:fldCharType="begin"/>
    </w:r>
    <w:r>
      <w:rPr>
        <w:color w:val="000000"/>
      </w:rPr>
      <w:instrText xml:space="preserve"> NUMPAGES </w:instrText>
    </w:r>
    <w:r>
      <w:rPr>
        <w:color w:val="000000"/>
      </w:rPr>
      <w:fldChar w:fldCharType="separate"/>
    </w:r>
    <w:r>
      <w:rPr>
        <w:color w:val="000000"/>
      </w:rPr>
      <w:t>13</w:t>
    </w:r>
    <w:r>
      <w:rPr>
        <w:color w:val="000000"/>
      </w:rPr>
      <w:fldChar w:fldCharType="end"/>
    </w:r>
  </w:p>
  <w:p>
    <w:pPr>
      <w:pStyle w:val="Normal"/>
      <w:pBdr/>
      <w:tabs>
        <w:tab w:val="clear" w:pos="720"/>
        <w:tab w:val="center" w:pos="4252" w:leader="none"/>
        <w:tab w:val="right" w:pos="8504" w:leader="none"/>
      </w:tabs>
      <w:spacing w:lineRule="auto" w:line="240" w:before="0" w:after="0"/>
      <w:jc w:val="center"/>
      <w:rPr>
        <w:rFonts w:ascii="Arial" w:hAnsi="Arial" w:eastAsia="Arial" w:cs="Arial"/>
        <w:color w:val="000000"/>
        <w:sz w:val="15"/>
        <w:szCs w:val="15"/>
      </w:rPr>
    </w:pPr>
    <w:r>
      <w:rPr>
        <w:rFonts w:eastAsia="Arial" w:cs="Arial" w:ascii="Arial" w:hAnsi="Arial"/>
        <w:b/>
        <w:bCs/>
        <w:color w:val="000000"/>
        <w:sz w:val="15"/>
        <w:szCs w:val="15"/>
      </w:rPr>
      <w:t>CENTRO ADMINISTRATIVO ANTÔNIO ROCHA</w:t>
    </w:r>
  </w:p>
  <w:p>
    <w:pPr>
      <w:pStyle w:val="Normal"/>
      <w:pBdr/>
      <w:tabs>
        <w:tab w:val="clear" w:pos="720"/>
        <w:tab w:val="center" w:pos="4252" w:leader="none"/>
        <w:tab w:val="right" w:pos="8504" w:leader="none"/>
      </w:tabs>
      <w:spacing w:lineRule="auto" w:line="240" w:before="0" w:after="0"/>
      <w:jc w:val="center"/>
      <w:rPr>
        <w:rFonts w:ascii="Arial" w:hAnsi="Arial" w:eastAsia="Arial" w:cs="Arial"/>
        <w:color w:val="000000"/>
        <w:sz w:val="15"/>
        <w:szCs w:val="15"/>
      </w:rPr>
    </w:pPr>
    <w:r>
      <w:rPr>
        <w:rFonts w:eastAsia="Arial" w:cs="Arial" w:ascii="Arial" w:hAnsi="Arial"/>
        <w:color w:val="000000"/>
        <w:sz w:val="15"/>
        <w:szCs w:val="15"/>
      </w:rPr>
      <w:t>Rua Samaritana, nº 1.185 – Bairro Santa Edwiges – CEP 57.311-180</w:t>
    </w:r>
  </w:p>
  <w:p>
    <w:pPr>
      <w:pStyle w:val="Normal"/>
      <w:pBdr/>
      <w:tabs>
        <w:tab w:val="clear" w:pos="720"/>
        <w:tab w:val="center" w:pos="4252" w:leader="none"/>
        <w:tab w:val="right" w:pos="8504" w:leader="none"/>
      </w:tabs>
      <w:spacing w:lineRule="auto" w:line="240" w:before="0" w:after="0"/>
      <w:jc w:val="center"/>
      <w:rPr>
        <w:rFonts w:ascii="Arial" w:hAnsi="Arial" w:eastAsia="Arial" w:cs="Arial"/>
        <w:color w:val="000000"/>
        <w:sz w:val="15"/>
        <w:szCs w:val="15"/>
      </w:rPr>
    </w:pPr>
    <w:r>
      <w:rPr>
        <w:rFonts w:eastAsia="Arial" w:cs="Arial" w:ascii="Arial" w:hAnsi="Arial"/>
        <w:color w:val="000000"/>
        <w:sz w:val="15"/>
        <w:szCs w:val="15"/>
      </w:rPr>
      <w:t>CNPJ nº 12.198.693/0001-58</w:t>
    </w:r>
  </w:p>
  <w:p>
    <w:pPr>
      <w:pStyle w:val="Normal"/>
      <w:pBdr/>
      <w:spacing w:lineRule="auto" w:line="240" w:before="0" w:after="0"/>
      <w:rPr>
        <w:rFonts w:ascii="Arial" w:hAnsi="Arial" w:eastAsia="Arial" w:cs="Arial"/>
        <w:color w:val="000000"/>
        <w:sz w:val="15"/>
        <w:szCs w:val="15"/>
      </w:rPr>
    </w:pPr>
    <w:r>
      <w:rPr>
        <w:rFonts w:eastAsia="Arial" w:cs="Arial" w:ascii="Arial" w:hAnsi="Arial"/>
        <w:color w:val="000000"/>
        <w:sz w:val="15"/>
        <w:szCs w:val="15"/>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abs>
        <w:tab w:val="clear" w:pos="720"/>
        <w:tab w:val="right" w:pos="8504" w:leader="none"/>
      </w:tabs>
      <w:rPr>
        <w:color w:val="00000A"/>
      </w:rPr>
    </w:pPr>
    <w:r>
      <w:rPr/>
      <w:drawing>
        <wp:inline distT="0" distB="0" distL="0" distR="0">
          <wp:extent cx="1591310" cy="670560"/>
          <wp:effectExtent l="0" t="0" r="0" b="0"/>
          <wp:docPr id="2"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descr=""/>
                  <pic:cNvPicPr>
                    <a:picLocks noChangeAspect="1" noChangeArrowheads="1"/>
                  </pic:cNvPicPr>
                </pic:nvPicPr>
                <pic:blipFill>
                  <a:blip r:embed="rId1"/>
                  <a:srcRect l="0" t="27613" r="0" b="30137"/>
                  <a:stretch>
                    <a:fillRect/>
                  </a:stretch>
                </pic:blipFill>
                <pic:spPr bwMode="auto">
                  <a:xfrm>
                    <a:off x="0" y="0"/>
                    <a:ext cx="1591310" cy="670560"/>
                  </a:xfrm>
                  <a:prstGeom prst="rect">
                    <a:avLst/>
                  </a:prstGeom>
                </pic:spPr>
              </pic:pic>
            </a:graphicData>
          </a:graphic>
        </wp:inline>
      </w:drawing>
    </w:r>
    <w:r>
      <w:rPr>
        <w:rFonts w:eastAsia="Arial" w:cs="Arial" w:ascii="Arial" w:hAnsi="Arial"/>
        <w:b/>
        <w:bCs/>
        <w:color w:val="000000"/>
        <w:sz w:val="24"/>
        <w:szCs w:val="24"/>
      </w:rPr>
      <mc:AlternateContent>
        <mc:Choice Requires="wps">
          <w:drawing>
            <wp:anchor behindDoc="1" distT="0" distB="0" distL="0" distR="0" simplePos="0" locked="0" layoutInCell="1" allowOverlap="1" relativeHeight="26">
              <wp:simplePos x="0" y="0"/>
              <wp:positionH relativeFrom="column">
                <wp:posOffset>1831340</wp:posOffset>
              </wp:positionH>
              <wp:positionV relativeFrom="paragraph">
                <wp:posOffset>263525</wp:posOffset>
              </wp:positionV>
              <wp:extent cx="3900805" cy="443230"/>
              <wp:effectExtent l="6985" t="6350" r="5715" b="6350"/>
              <wp:wrapNone/>
              <wp:docPr id="3" name="Retângulo 13"/>
              <a:graphic xmlns:a="http://schemas.openxmlformats.org/drawingml/2006/main">
                <a:graphicData uri="http://schemas.microsoft.com/office/word/2010/wordprocessingShape">
                  <wps:wsp>
                    <wps:cNvSpPr/>
                    <wps:spPr>
                      <a:xfrm>
                        <a:off x="0" y="0"/>
                        <a:ext cx="3900960" cy="443160"/>
                      </a:xfrm>
                      <a:prstGeom prst="rect">
                        <a:avLst/>
                      </a:prstGeom>
                      <a:solidFill>
                        <a:srgbClr val="ffffff"/>
                      </a:solidFill>
                      <a:ln w="12700">
                        <a:solidFill>
                          <a:srgbClr val="ffffff"/>
                        </a:solidFill>
                        <a:miter/>
                      </a:ln>
                    </wps:spPr>
                    <wps:style>
                      <a:lnRef idx="0"/>
                      <a:fillRef idx="0"/>
                      <a:effectRef idx="0"/>
                      <a:fontRef idx="minor"/>
                    </wps:style>
                    <wps:txbx>
                      <w:txbxContent>
                        <w:p>
                          <w:pPr>
                            <w:pStyle w:val="Contedodoquadro"/>
                            <w:spacing w:lineRule="auto" w:line="249"/>
                            <w:jc w:val="center"/>
                            <w:rPr/>
                          </w:pPr>
                          <w:r>
                            <w:rPr>
                              <w:rFonts w:eastAsia="Times New Roman" w:cs="Times New Roman" w:ascii="Times New Roman" w:hAnsi="Times New Roman"/>
                              <w:b/>
                              <w:color w:val="000000"/>
                              <w:sz w:val="24"/>
                            </w:rPr>
                            <w:t>SECRETARIA MUNICIPAL DE INFRAESTRUTURA</w:t>
                          </w:r>
                        </w:p>
                        <w:p>
                          <w:pPr>
                            <w:pStyle w:val="Contedodoquadro"/>
                            <w:spacing w:lineRule="auto" w:line="249"/>
                            <w:rPr/>
                          </w:pPr>
                          <w:r>
                            <w:rPr/>
                          </w:r>
                        </w:p>
                        <w:p>
                          <w:pPr>
                            <w:pStyle w:val="Contedodoquadro"/>
                            <w:spacing w:lineRule="auto" w:line="249" w:before="0" w:after="160"/>
                            <w:rPr/>
                          </w:pPr>
                          <w:r>
                            <w:rPr/>
                          </w:r>
                        </w:p>
                      </w:txbxContent>
                    </wps:txbx>
                    <wps:bodyPr anchor="t">
                      <a:noAutofit/>
                    </wps:bodyPr>
                  </wps:wsp>
                </a:graphicData>
              </a:graphic>
            </wp:anchor>
          </w:drawing>
        </mc:Choice>
        <mc:Fallback>
          <w:pict>
            <v:rect id="shape_0" ID="Retângulo 13" path="m0,0l-2147483645,0l-2147483645,-2147483646l0,-2147483646xe" fillcolor="white" stroked="t" o:allowincell="f" style="position:absolute;margin-left:144.2pt;margin-top:20.75pt;width:307.1pt;height:34.85pt;mso-wrap-style:square;v-text-anchor:top">
              <v:fill o:detectmouseclick="t" type="solid" color2="black"/>
              <v:stroke color="white" weight="12600" joinstyle="miter" endcap="flat"/>
              <v:textbox>
                <w:txbxContent>
                  <w:p>
                    <w:pPr>
                      <w:pStyle w:val="Contedodoquadro"/>
                      <w:spacing w:lineRule="auto" w:line="249"/>
                      <w:jc w:val="center"/>
                      <w:rPr/>
                    </w:pPr>
                    <w:r>
                      <w:rPr>
                        <w:rFonts w:eastAsia="Times New Roman" w:cs="Times New Roman" w:ascii="Times New Roman" w:hAnsi="Times New Roman"/>
                        <w:b/>
                        <w:color w:val="000000"/>
                        <w:sz w:val="24"/>
                      </w:rPr>
                      <w:t>SECRETARIA MUNICIPAL DE INFRAESTRUTURA</w:t>
                    </w:r>
                  </w:p>
                  <w:p>
                    <w:pPr>
                      <w:pStyle w:val="Contedodoquadro"/>
                      <w:spacing w:lineRule="auto" w:line="249"/>
                      <w:rPr/>
                    </w:pPr>
                    <w:r>
                      <w:rPr/>
                    </w:r>
                  </w:p>
                  <w:p>
                    <w:pPr>
                      <w:pStyle w:val="Contedodoquadro"/>
                      <w:spacing w:lineRule="auto" w:line="249" w:before="0" w:after="160"/>
                      <w:rPr/>
                    </w:pPr>
                    <w:r>
                      <w:rPr/>
                    </w:r>
                  </w:p>
                </w:txbxContent>
              </v:textbox>
              <w10:wrap type="none"/>
            </v:rect>
          </w:pict>
        </mc:Fallback>
      </mc:AlternateContent>
    </w:r>
    <w:r>
      <w:rPr>
        <w:rFonts w:eastAsia="Arial" w:cs="Arial" w:ascii="Arial" w:hAnsi="Arial"/>
        <w:b/>
        <w:bCs/>
        <w:color w:val="000000"/>
        <w:sz w:val="24"/>
        <w:szCs w:val="24"/>
      </w:rPr>
      <w:tab/>
      <w:t xml:space="preserve">    </w:t>
    </w:r>
  </w:p>
  <w:p>
    <w:pPr>
      <w:pStyle w:val="Normal"/>
      <w:pBdr/>
      <w:spacing w:lineRule="auto" w:line="240" w:before="0" w:after="0"/>
      <w:rPr>
        <w:color w:val="000000"/>
      </w:rPr>
    </w:pPr>
    <w:r>
      <w:rPr>
        <w:color w:val="000000"/>
      </w:rPr>
      <mc:AlternateContent>
        <mc:Choice Requires="wps">
          <w:drawing>
            <wp:anchor behindDoc="1" distT="0" distB="0" distL="0" distR="0" simplePos="0" locked="0" layoutInCell="1" allowOverlap="1" relativeHeight="52">
              <wp:simplePos x="0" y="0"/>
              <wp:positionH relativeFrom="column">
                <wp:posOffset>-108585</wp:posOffset>
              </wp:positionH>
              <wp:positionV relativeFrom="paragraph">
                <wp:posOffset>12700</wp:posOffset>
              </wp:positionV>
              <wp:extent cx="5965825" cy="47625"/>
              <wp:effectExtent l="6985" t="6985" r="5715" b="5715"/>
              <wp:wrapNone/>
              <wp:docPr id="4" name="Retângulo 12"/>
              <a:graphic xmlns:a="http://schemas.openxmlformats.org/drawingml/2006/main">
                <a:graphicData uri="http://schemas.microsoft.com/office/word/2010/wordprocessingShape">
                  <wps:wsp>
                    <wps:cNvSpPr/>
                    <wps:spPr>
                      <a:xfrm>
                        <a:off x="0" y="0"/>
                        <a:ext cx="5965920" cy="47520"/>
                      </a:xfrm>
                      <a:prstGeom prst="rect">
                        <a:avLst/>
                      </a:prstGeom>
                      <a:solidFill>
                        <a:srgbClr val="002060"/>
                      </a:solidFill>
                      <a:ln w="12600">
                        <a:solidFill>
                          <a:srgbClr val="002060"/>
                        </a:solidFill>
                        <a:miter/>
                      </a:ln>
                    </wps:spPr>
                    <wps:style>
                      <a:lnRef idx="0"/>
                      <a:fillRef idx="0"/>
                      <a:effectRef idx="0"/>
                      <a:fontRef idx="minor"/>
                    </wps:style>
                    <wps:txbx>
                      <w:txbxContent>
                        <w:p>
                          <w:pPr>
                            <w:pStyle w:val="Contedodoquadro"/>
                            <w:spacing w:lineRule="auto" w:line="240" w:before="0" w:after="0"/>
                            <w:rPr/>
                          </w:pPr>
                          <w:r>
                            <w:rPr/>
                          </w:r>
                        </w:p>
                      </w:txbxContent>
                    </wps:txbx>
                    <wps:bodyPr tIns="0" bIns="0" anchor="ctr">
                      <a:noAutofit/>
                    </wps:bodyPr>
                  </wps:wsp>
                </a:graphicData>
              </a:graphic>
            </wp:anchor>
          </w:drawing>
        </mc:Choice>
        <mc:Fallback>
          <w:pict>
            <v:rect id="shape_0" ID="Retângulo 12" path="m0,0l-2147483645,0l-2147483645,-2147483646l0,-2147483646xe" fillcolor="#002060" stroked="t" o:allowincell="f" style="position:absolute;margin-left:-8.55pt;margin-top:1pt;width:469.7pt;height:3.7pt;mso-wrap-style:none;v-text-anchor:middle">
              <v:fill o:detectmouseclick="t" type="solid" color2="#ffdf9f"/>
              <v:stroke color="#002060" weight="12600" joinstyle="miter" endcap="flat"/>
              <v:textbox>
                <w:txbxContent>
                  <w:p>
                    <w:pPr>
                      <w:pStyle w:val="Contedodoquadro"/>
                      <w:spacing w:lineRule="auto" w:line="240" w:before="0" w:after="0"/>
                      <w:rPr/>
                    </w:pPr>
                    <w:r>
                      <w:rPr/>
                    </w:r>
                  </w:p>
                </w:txbxContent>
              </v:textbox>
              <w10:wrap type="none"/>
            </v:rect>
          </w:pict>
        </mc:Fallback>
      </mc:AlternateContent>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abs>
        <w:tab w:val="clear" w:pos="720"/>
        <w:tab w:val="right" w:pos="8504" w:leader="none"/>
      </w:tabs>
      <w:rPr>
        <w:color w:val="00000A"/>
      </w:rPr>
    </w:pPr>
    <w:r>
      <w:rPr/>
      <w:drawing>
        <wp:inline distT="0" distB="0" distL="0" distR="0">
          <wp:extent cx="1591310" cy="670560"/>
          <wp:effectExtent l="0" t="0" r="0" b="0"/>
          <wp:docPr id="5" name="image1.pn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1.png" descr=""/>
                  <pic:cNvPicPr>
                    <a:picLocks noChangeAspect="1" noChangeArrowheads="1"/>
                  </pic:cNvPicPr>
                </pic:nvPicPr>
                <pic:blipFill>
                  <a:blip r:embed="rId1"/>
                  <a:srcRect l="0" t="27613" r="0" b="30137"/>
                  <a:stretch>
                    <a:fillRect/>
                  </a:stretch>
                </pic:blipFill>
                <pic:spPr bwMode="auto">
                  <a:xfrm>
                    <a:off x="0" y="0"/>
                    <a:ext cx="1591310" cy="670560"/>
                  </a:xfrm>
                  <a:prstGeom prst="rect">
                    <a:avLst/>
                  </a:prstGeom>
                </pic:spPr>
              </pic:pic>
            </a:graphicData>
          </a:graphic>
        </wp:inline>
      </w:drawing>
    </w:r>
    <w:r>
      <w:rPr>
        <w:rFonts w:eastAsia="Arial" w:cs="Arial" w:ascii="Arial" w:hAnsi="Arial"/>
        <w:b/>
        <w:bCs/>
        <w:color w:val="000000"/>
        <w:sz w:val="24"/>
        <w:szCs w:val="24"/>
      </w:rPr>
      <mc:AlternateContent>
        <mc:Choice Requires="wps">
          <w:drawing>
            <wp:anchor behindDoc="1" distT="0" distB="0" distL="0" distR="0" simplePos="0" locked="0" layoutInCell="1" allowOverlap="1" relativeHeight="26">
              <wp:simplePos x="0" y="0"/>
              <wp:positionH relativeFrom="column">
                <wp:posOffset>1831340</wp:posOffset>
              </wp:positionH>
              <wp:positionV relativeFrom="paragraph">
                <wp:posOffset>263525</wp:posOffset>
              </wp:positionV>
              <wp:extent cx="3900805" cy="443230"/>
              <wp:effectExtent l="6985" t="6350" r="5715" b="6350"/>
              <wp:wrapNone/>
              <wp:docPr id="6" name="Retângulo 13"/>
              <a:graphic xmlns:a="http://schemas.openxmlformats.org/drawingml/2006/main">
                <a:graphicData uri="http://schemas.microsoft.com/office/word/2010/wordprocessingShape">
                  <wps:wsp>
                    <wps:cNvSpPr/>
                    <wps:spPr>
                      <a:xfrm>
                        <a:off x="0" y="0"/>
                        <a:ext cx="3900960" cy="443160"/>
                      </a:xfrm>
                      <a:prstGeom prst="rect">
                        <a:avLst/>
                      </a:prstGeom>
                      <a:solidFill>
                        <a:srgbClr val="ffffff"/>
                      </a:solidFill>
                      <a:ln w="12700">
                        <a:solidFill>
                          <a:srgbClr val="ffffff"/>
                        </a:solidFill>
                        <a:miter/>
                      </a:ln>
                    </wps:spPr>
                    <wps:style>
                      <a:lnRef idx="0"/>
                      <a:fillRef idx="0"/>
                      <a:effectRef idx="0"/>
                      <a:fontRef idx="minor"/>
                    </wps:style>
                    <wps:txbx>
                      <w:txbxContent>
                        <w:p>
                          <w:pPr>
                            <w:pStyle w:val="Contedodoquadro"/>
                            <w:spacing w:lineRule="auto" w:line="249"/>
                            <w:jc w:val="center"/>
                            <w:rPr/>
                          </w:pPr>
                          <w:r>
                            <w:rPr>
                              <w:rFonts w:eastAsia="Times New Roman" w:cs="Times New Roman" w:ascii="Times New Roman" w:hAnsi="Times New Roman"/>
                              <w:b/>
                              <w:color w:val="000000"/>
                              <w:sz w:val="24"/>
                            </w:rPr>
                            <w:t>SECRETARIA MUNICIPAL DE INFRAESTRUTURA</w:t>
                          </w:r>
                        </w:p>
                        <w:p>
                          <w:pPr>
                            <w:pStyle w:val="Contedodoquadro"/>
                            <w:spacing w:lineRule="auto" w:line="249"/>
                            <w:rPr/>
                          </w:pPr>
                          <w:r>
                            <w:rPr/>
                          </w:r>
                        </w:p>
                        <w:p>
                          <w:pPr>
                            <w:pStyle w:val="Contedodoquadro"/>
                            <w:spacing w:lineRule="auto" w:line="249" w:before="0" w:after="160"/>
                            <w:rPr/>
                          </w:pPr>
                          <w:r>
                            <w:rPr/>
                          </w:r>
                        </w:p>
                      </w:txbxContent>
                    </wps:txbx>
                    <wps:bodyPr anchor="t">
                      <a:noAutofit/>
                    </wps:bodyPr>
                  </wps:wsp>
                </a:graphicData>
              </a:graphic>
            </wp:anchor>
          </w:drawing>
        </mc:Choice>
        <mc:Fallback>
          <w:pict>
            <v:rect id="shape_0" ID="Retângulo 13" path="m0,0l-2147483645,0l-2147483645,-2147483646l0,-2147483646xe" fillcolor="white" stroked="t" o:allowincell="f" style="position:absolute;margin-left:144.2pt;margin-top:20.75pt;width:307.1pt;height:34.85pt;mso-wrap-style:square;v-text-anchor:top">
              <v:fill o:detectmouseclick="t" type="solid" color2="black"/>
              <v:stroke color="white" weight="12600" joinstyle="miter" endcap="flat"/>
              <v:textbox>
                <w:txbxContent>
                  <w:p>
                    <w:pPr>
                      <w:pStyle w:val="Contedodoquadro"/>
                      <w:spacing w:lineRule="auto" w:line="249"/>
                      <w:jc w:val="center"/>
                      <w:rPr/>
                    </w:pPr>
                    <w:r>
                      <w:rPr>
                        <w:rFonts w:eastAsia="Times New Roman" w:cs="Times New Roman" w:ascii="Times New Roman" w:hAnsi="Times New Roman"/>
                        <w:b/>
                        <w:color w:val="000000"/>
                        <w:sz w:val="24"/>
                      </w:rPr>
                      <w:t>SECRETARIA MUNICIPAL DE INFRAESTRUTURA</w:t>
                    </w:r>
                  </w:p>
                  <w:p>
                    <w:pPr>
                      <w:pStyle w:val="Contedodoquadro"/>
                      <w:spacing w:lineRule="auto" w:line="249"/>
                      <w:rPr/>
                    </w:pPr>
                    <w:r>
                      <w:rPr/>
                    </w:r>
                  </w:p>
                  <w:p>
                    <w:pPr>
                      <w:pStyle w:val="Contedodoquadro"/>
                      <w:spacing w:lineRule="auto" w:line="249" w:before="0" w:after="160"/>
                      <w:rPr/>
                    </w:pPr>
                    <w:r>
                      <w:rPr/>
                    </w:r>
                  </w:p>
                </w:txbxContent>
              </v:textbox>
              <w10:wrap type="none"/>
            </v:rect>
          </w:pict>
        </mc:Fallback>
      </mc:AlternateContent>
    </w:r>
    <w:r>
      <w:rPr>
        <w:rFonts w:eastAsia="Arial" w:cs="Arial" w:ascii="Arial" w:hAnsi="Arial"/>
        <w:b/>
        <w:bCs/>
        <w:color w:val="000000"/>
        <w:sz w:val="24"/>
        <w:szCs w:val="24"/>
      </w:rPr>
      <w:tab/>
      <w:t xml:space="preserve">    </w:t>
    </w:r>
  </w:p>
  <w:p>
    <w:pPr>
      <w:pStyle w:val="Normal"/>
      <w:pBdr/>
      <w:spacing w:lineRule="auto" w:line="240" w:before="0" w:after="0"/>
      <w:rPr>
        <w:color w:val="000000"/>
      </w:rPr>
    </w:pPr>
    <w:r>
      <w:rPr>
        <w:color w:val="000000"/>
      </w:rPr>
      <mc:AlternateContent>
        <mc:Choice Requires="wps">
          <w:drawing>
            <wp:anchor behindDoc="1" distT="0" distB="0" distL="0" distR="0" simplePos="0" locked="0" layoutInCell="1" allowOverlap="1" relativeHeight="52">
              <wp:simplePos x="0" y="0"/>
              <wp:positionH relativeFrom="column">
                <wp:posOffset>-108585</wp:posOffset>
              </wp:positionH>
              <wp:positionV relativeFrom="paragraph">
                <wp:posOffset>12700</wp:posOffset>
              </wp:positionV>
              <wp:extent cx="5965825" cy="47625"/>
              <wp:effectExtent l="6985" t="6985" r="5715" b="5715"/>
              <wp:wrapNone/>
              <wp:docPr id="7" name="Retângulo 12"/>
              <a:graphic xmlns:a="http://schemas.openxmlformats.org/drawingml/2006/main">
                <a:graphicData uri="http://schemas.microsoft.com/office/word/2010/wordprocessingShape">
                  <wps:wsp>
                    <wps:cNvSpPr/>
                    <wps:spPr>
                      <a:xfrm>
                        <a:off x="0" y="0"/>
                        <a:ext cx="5965920" cy="47520"/>
                      </a:xfrm>
                      <a:prstGeom prst="rect">
                        <a:avLst/>
                      </a:prstGeom>
                      <a:solidFill>
                        <a:srgbClr val="002060"/>
                      </a:solidFill>
                      <a:ln w="12600">
                        <a:solidFill>
                          <a:srgbClr val="002060"/>
                        </a:solidFill>
                        <a:miter/>
                      </a:ln>
                    </wps:spPr>
                    <wps:style>
                      <a:lnRef idx="0"/>
                      <a:fillRef idx="0"/>
                      <a:effectRef idx="0"/>
                      <a:fontRef idx="minor"/>
                    </wps:style>
                    <wps:txbx>
                      <w:txbxContent>
                        <w:p>
                          <w:pPr>
                            <w:pStyle w:val="Contedodoquadro"/>
                            <w:spacing w:lineRule="auto" w:line="240" w:before="0" w:after="0"/>
                            <w:rPr/>
                          </w:pPr>
                          <w:r>
                            <w:rPr/>
                          </w:r>
                        </w:p>
                      </w:txbxContent>
                    </wps:txbx>
                    <wps:bodyPr tIns="0" bIns="0" anchor="ctr">
                      <a:noAutofit/>
                    </wps:bodyPr>
                  </wps:wsp>
                </a:graphicData>
              </a:graphic>
            </wp:anchor>
          </w:drawing>
        </mc:Choice>
        <mc:Fallback>
          <w:pict>
            <v:rect id="shape_0" ID="Retângulo 12" path="m0,0l-2147483645,0l-2147483645,-2147483646l0,-2147483646xe" fillcolor="#002060" stroked="t" o:allowincell="f" style="position:absolute;margin-left:-8.55pt;margin-top:1pt;width:469.7pt;height:3.7pt;mso-wrap-style:none;v-text-anchor:middle">
              <v:fill o:detectmouseclick="t" type="solid" color2="#ffdf9f"/>
              <v:stroke color="#002060" weight="12600" joinstyle="miter" endcap="flat"/>
              <v:textbox>
                <w:txbxContent>
                  <w:p>
                    <w:pPr>
                      <w:pStyle w:val="Contedodoquadro"/>
                      <w:spacing w:lineRule="auto" w:line="240" w:before="0" w:after="0"/>
                      <w:rPr/>
                    </w:pPr>
                    <w:r>
                      <w:rPr/>
                    </w:r>
                  </w:p>
                </w:txbxContent>
              </v:textbox>
              <w10:wrap type="none"/>
            </v:rect>
          </w:pict>
        </mc:Fallback>
      </mc:AlternateContent>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decimal"/>
      <w:lvlText w:val="%1."/>
      <w:lvlJc w:val="left"/>
      <w:pPr>
        <w:tabs>
          <w:tab w:val="num" w:pos="0"/>
        </w:tabs>
        <w:ind w:left="1080" w:hanging="720"/>
      </w:pPr>
      <w:rPr>
        <w:vertAlign w:val="baseline"/>
        <w:position w:val="0"/>
        <w:sz w:val="22"/>
        <w:sz w:val="22"/>
        <w:b/>
        <w:shd w:fill="auto" w:val="clear"/>
        <w:szCs w:val="22"/>
        <w:bCs/>
      </w:rPr>
    </w:lvl>
    <w:lvl w:ilvl="1">
      <w:start w:val="1"/>
      <w:numFmt w:val="decimal"/>
      <w:lvlText w:val="%1.%2."/>
      <w:lvlJc w:val="left"/>
      <w:pPr>
        <w:tabs>
          <w:tab w:val="num" w:pos="0"/>
        </w:tabs>
        <w:ind w:left="720" w:hanging="360"/>
      </w:pPr>
      <w:rPr>
        <w:vertAlign w:val="baseline"/>
        <w:position w:val="0"/>
        <w:sz w:val="22"/>
        <w:sz w:val="22"/>
        <w:b/>
        <w:szCs w:val="22"/>
        <w:bCs/>
        <w:rFonts w:ascii="Times New Roman" w:hAnsi="Times New Roman" w:eastAsia="Times New Roman" w:cs="Times New Roman"/>
      </w:rPr>
    </w:lvl>
    <w:lvl w:ilvl="2">
      <w:start w:val="1"/>
      <w:numFmt w:val="decimal"/>
      <w:lvlText w:val="%1.%2.%3."/>
      <w:lvlJc w:val="left"/>
      <w:pPr>
        <w:tabs>
          <w:tab w:val="num" w:pos="0"/>
        </w:tabs>
        <w:ind w:left="1080" w:hanging="720"/>
      </w:pPr>
      <w:rPr>
        <w:vertAlign w:val="baseline"/>
        <w:position w:val="0"/>
        <w:sz w:val="22"/>
        <w:sz w:val="22"/>
        <w:szCs w:val="22"/>
      </w:rPr>
    </w:lvl>
    <w:lvl w:ilvl="3">
      <w:start w:val="1"/>
      <w:numFmt w:val="decimal"/>
      <w:lvlText w:val="%1.%2.%3.%4."/>
      <w:lvlJc w:val="left"/>
      <w:pPr>
        <w:tabs>
          <w:tab w:val="num" w:pos="0"/>
        </w:tabs>
        <w:ind w:left="1080" w:hanging="720"/>
      </w:pPr>
      <w:rPr>
        <w:vertAlign w:val="baseline"/>
        <w:position w:val="0"/>
        <w:sz w:val="22"/>
        <w:sz w:val="22"/>
        <w:szCs w:val="22"/>
      </w:rPr>
    </w:lvl>
    <w:lvl w:ilvl="4">
      <w:start w:val="1"/>
      <w:numFmt w:val="decimal"/>
      <w:lvlText w:val="%1.%2.%3.%4.%5."/>
      <w:lvlJc w:val="left"/>
      <w:pPr>
        <w:tabs>
          <w:tab w:val="num" w:pos="0"/>
        </w:tabs>
        <w:ind w:left="1440" w:hanging="1080"/>
      </w:pPr>
      <w:rPr>
        <w:vertAlign w:val="baseline"/>
        <w:position w:val="0"/>
        <w:sz w:val="22"/>
        <w:sz w:val="22"/>
        <w:szCs w:val="22"/>
      </w:rPr>
    </w:lvl>
    <w:lvl w:ilvl="5">
      <w:start w:val="1"/>
      <w:numFmt w:val="decimal"/>
      <w:lvlText w:val="%1.%2.%3.%4.%5.%6."/>
      <w:lvlJc w:val="left"/>
      <w:pPr>
        <w:tabs>
          <w:tab w:val="num" w:pos="0"/>
        </w:tabs>
        <w:ind w:left="1440" w:hanging="1080"/>
      </w:pPr>
      <w:rPr>
        <w:vertAlign w:val="baseline"/>
        <w:position w:val="0"/>
        <w:sz w:val="22"/>
        <w:sz w:val="22"/>
        <w:szCs w:val="22"/>
      </w:rPr>
    </w:lvl>
    <w:lvl w:ilvl="6">
      <w:start w:val="1"/>
      <w:numFmt w:val="decimal"/>
      <w:lvlText w:val="%1.%2.%3.%4.%5.%6.%7."/>
      <w:lvlJc w:val="left"/>
      <w:pPr>
        <w:tabs>
          <w:tab w:val="num" w:pos="0"/>
        </w:tabs>
        <w:ind w:left="1800" w:hanging="1440"/>
      </w:pPr>
      <w:rPr>
        <w:vertAlign w:val="baseline"/>
        <w:position w:val="0"/>
        <w:sz w:val="22"/>
        <w:sz w:val="22"/>
        <w:szCs w:val="22"/>
      </w:rPr>
    </w:lvl>
    <w:lvl w:ilvl="7">
      <w:start w:val="1"/>
      <w:numFmt w:val="decimal"/>
      <w:lvlText w:val="%1.%2.%3.%4.%5.%6.%7.%8."/>
      <w:lvlJc w:val="left"/>
      <w:pPr>
        <w:tabs>
          <w:tab w:val="num" w:pos="0"/>
        </w:tabs>
        <w:ind w:left="1800" w:hanging="1440"/>
      </w:pPr>
      <w:rPr>
        <w:vertAlign w:val="baseline"/>
        <w:position w:val="0"/>
        <w:sz w:val="22"/>
        <w:sz w:val="22"/>
        <w:szCs w:val="22"/>
      </w:rPr>
    </w:lvl>
    <w:lvl w:ilvl="8">
      <w:start w:val="1"/>
      <w:numFmt w:val="decimal"/>
      <w:lvlText w:val="%1.%2.%3.%4.%5.%6.%7.%8.%9."/>
      <w:lvlJc w:val="left"/>
      <w:pPr>
        <w:tabs>
          <w:tab w:val="num" w:pos="0"/>
        </w:tabs>
        <w:ind w:left="2160" w:hanging="1800"/>
      </w:pPr>
      <w:rPr>
        <w:vertAlign w:val="baseline"/>
        <w:position w:val="0"/>
        <w:sz w:val="22"/>
        <w:sz w:val="22"/>
        <w:szCs w:val="22"/>
      </w:rPr>
    </w:lvl>
  </w:abstractNum>
  <w:abstractNum w:abstractNumId="2">
    <w:lvl w:ilvl="0">
      <w:start w:val="1"/>
      <w:numFmt w:val="bullet"/>
      <w:lvlText w:val="●"/>
      <w:lvlJc w:val="left"/>
      <w:pPr>
        <w:tabs>
          <w:tab w:val="num" w:pos="0"/>
        </w:tabs>
        <w:ind w:left="1571" w:hanging="360"/>
      </w:pPr>
      <w:rPr>
        <w:rFonts w:ascii="Noto Sans Symbols" w:hAnsi="Noto Sans Symbols" w:cs="Noto Sans Symbols" w:hint="default"/>
        <w:vertAlign w:val="baseline"/>
        <w:position w:val="0"/>
        <w:sz w:val="22"/>
        <w:sz w:val="22"/>
        <w:szCs w:val="22"/>
      </w:rPr>
    </w:lvl>
    <w:lvl w:ilvl="1">
      <w:start w:val="1"/>
      <w:numFmt w:val="bullet"/>
      <w:lvlText w:val=""/>
      <w:lvlJc w:val="left"/>
      <w:pPr>
        <w:tabs>
          <w:tab w:val="num" w:pos="0"/>
        </w:tabs>
        <w:ind w:left="0" w:hanging="0"/>
      </w:pPr>
      <w:rPr>
        <w:rFonts w:ascii="Noto Sans Symbols" w:hAnsi="Noto Sans Symbols" w:cs="Noto Sans Symbols" w:hint="default"/>
      </w:rPr>
    </w:lvl>
    <w:lvl w:ilvl="2">
      <w:start w:val="1"/>
      <w:numFmt w:val="bullet"/>
      <w:lvlText w:val=""/>
      <w:lvlJc w:val="left"/>
      <w:pPr>
        <w:tabs>
          <w:tab w:val="num" w:pos="0"/>
        </w:tabs>
        <w:ind w:left="0" w:hanging="0"/>
      </w:pPr>
      <w:rPr>
        <w:rFonts w:ascii="Noto Sans Symbols" w:hAnsi="Noto Sans Symbols" w:cs="Noto Sans Symbols" w:hint="default"/>
      </w:rPr>
    </w:lvl>
    <w:lvl w:ilvl="3">
      <w:start w:val="1"/>
      <w:numFmt w:val="bullet"/>
      <w:lvlText w:val=""/>
      <w:lvlJc w:val="left"/>
      <w:pPr>
        <w:tabs>
          <w:tab w:val="num" w:pos="0"/>
        </w:tabs>
        <w:ind w:left="0" w:hanging="0"/>
      </w:pPr>
      <w:rPr>
        <w:rFonts w:ascii="Noto Sans Symbols" w:hAnsi="Noto Sans Symbols" w:cs="Noto Sans Symbols" w:hint="default"/>
      </w:rPr>
    </w:lvl>
    <w:lvl w:ilvl="4">
      <w:start w:val="1"/>
      <w:numFmt w:val="bullet"/>
      <w:lvlText w:val=""/>
      <w:lvlJc w:val="left"/>
      <w:pPr>
        <w:tabs>
          <w:tab w:val="num" w:pos="0"/>
        </w:tabs>
        <w:ind w:left="0" w:hanging="0"/>
      </w:pPr>
      <w:rPr>
        <w:rFonts w:ascii="Noto Sans Symbols" w:hAnsi="Noto Sans Symbols" w:cs="Noto Sans Symbols" w:hint="default"/>
      </w:rPr>
    </w:lvl>
    <w:lvl w:ilvl="5">
      <w:start w:val="1"/>
      <w:numFmt w:val="bullet"/>
      <w:lvlText w:val=""/>
      <w:lvlJc w:val="left"/>
      <w:pPr>
        <w:tabs>
          <w:tab w:val="num" w:pos="0"/>
        </w:tabs>
        <w:ind w:left="0" w:hanging="0"/>
      </w:pPr>
      <w:rPr>
        <w:rFonts w:ascii="Noto Sans Symbols" w:hAnsi="Noto Sans Symbols" w:cs="Noto Sans Symbols" w:hint="default"/>
      </w:rPr>
    </w:lvl>
    <w:lvl w:ilvl="6">
      <w:start w:val="1"/>
      <w:numFmt w:val="bullet"/>
      <w:lvlText w:val=""/>
      <w:lvlJc w:val="left"/>
      <w:pPr>
        <w:tabs>
          <w:tab w:val="num" w:pos="0"/>
        </w:tabs>
        <w:ind w:left="0" w:hanging="0"/>
      </w:pPr>
      <w:rPr>
        <w:rFonts w:ascii="Noto Sans Symbols" w:hAnsi="Noto Sans Symbols" w:cs="Noto Sans Symbols" w:hint="default"/>
      </w:rPr>
    </w:lvl>
    <w:lvl w:ilvl="7">
      <w:start w:val="1"/>
      <w:numFmt w:val="bullet"/>
      <w:lvlText w:val=""/>
      <w:lvlJc w:val="left"/>
      <w:pPr>
        <w:tabs>
          <w:tab w:val="num" w:pos="0"/>
        </w:tabs>
        <w:ind w:left="0" w:hanging="0"/>
      </w:pPr>
      <w:rPr>
        <w:rFonts w:ascii="Noto Sans Symbols" w:hAnsi="Noto Sans Symbols" w:cs="Noto Sans Symbols" w:hint="default"/>
      </w:rPr>
    </w:lvl>
    <w:lvl w:ilvl="8">
      <w:start w:val="1"/>
      <w:numFmt w:val="bullet"/>
      <w:lvlText w:val=""/>
      <w:lvlJc w:val="left"/>
      <w:pPr>
        <w:tabs>
          <w:tab w:val="num" w:pos="0"/>
        </w:tabs>
        <w:ind w:left="0" w:hanging="0"/>
      </w:pPr>
      <w:rPr>
        <w:rFonts w:ascii="Noto Sans Symbols" w:hAnsi="Noto Sans Symbols" w:cs="Noto Sans Symbols" w:hint="default"/>
      </w:rPr>
    </w:lvl>
  </w:abstractNum>
  <w:abstractNum w:abstractNumId="3">
    <w:lvl w:ilvl="0">
      <w:start w:val="1"/>
      <w:numFmt w:val="lowerLetter"/>
      <w:lvlText w:val="%1)"/>
      <w:lvlJc w:val="left"/>
      <w:pPr>
        <w:tabs>
          <w:tab w:val="num" w:pos="0"/>
        </w:tabs>
        <w:ind w:left="1490" w:hanging="360"/>
      </w:pPr>
      <w:rPr>
        <w:vertAlign w:val="baseline"/>
        <w:position w:val="0"/>
        <w:sz w:val="22"/>
        <w:sz w:val="22"/>
        <w:szCs w:val="22"/>
      </w:rPr>
    </w:lvl>
    <w:lvl w:ilvl="1">
      <w:start w:val="1"/>
      <w:numFmt w:val="lowerLetter"/>
      <w:lvlText w:val="%2."/>
      <w:lvlJc w:val="left"/>
      <w:pPr>
        <w:tabs>
          <w:tab w:val="num" w:pos="0"/>
        </w:tabs>
        <w:ind w:left="2210" w:hanging="360"/>
      </w:pPr>
      <w:rPr>
        <w:vertAlign w:val="baseline"/>
        <w:position w:val="0"/>
        <w:sz w:val="22"/>
        <w:sz w:val="22"/>
        <w:szCs w:val="22"/>
      </w:rPr>
    </w:lvl>
    <w:lvl w:ilvl="2">
      <w:start w:val="1"/>
      <w:numFmt w:val="lowerRoman"/>
      <w:lvlText w:val="%3."/>
      <w:lvlJc w:val="right"/>
      <w:pPr>
        <w:tabs>
          <w:tab w:val="num" w:pos="0"/>
        </w:tabs>
        <w:ind w:left="2930" w:hanging="180"/>
      </w:pPr>
      <w:rPr>
        <w:vertAlign w:val="baseline"/>
        <w:position w:val="0"/>
        <w:sz w:val="22"/>
        <w:sz w:val="22"/>
        <w:szCs w:val="22"/>
      </w:rPr>
    </w:lvl>
    <w:lvl w:ilvl="3">
      <w:start w:val="1"/>
      <w:numFmt w:val="decimal"/>
      <w:lvlText w:val="%4."/>
      <w:lvlJc w:val="left"/>
      <w:pPr>
        <w:tabs>
          <w:tab w:val="num" w:pos="0"/>
        </w:tabs>
        <w:ind w:left="3650" w:hanging="360"/>
      </w:pPr>
      <w:rPr>
        <w:vertAlign w:val="baseline"/>
        <w:position w:val="0"/>
        <w:sz w:val="22"/>
        <w:sz w:val="22"/>
        <w:szCs w:val="22"/>
      </w:rPr>
    </w:lvl>
    <w:lvl w:ilvl="4">
      <w:start w:val="1"/>
      <w:numFmt w:val="lowerLetter"/>
      <w:lvlText w:val="%5."/>
      <w:lvlJc w:val="left"/>
      <w:pPr>
        <w:tabs>
          <w:tab w:val="num" w:pos="0"/>
        </w:tabs>
        <w:ind w:left="4370" w:hanging="360"/>
      </w:pPr>
      <w:rPr>
        <w:vertAlign w:val="baseline"/>
        <w:position w:val="0"/>
        <w:sz w:val="22"/>
        <w:sz w:val="22"/>
        <w:szCs w:val="22"/>
      </w:rPr>
    </w:lvl>
    <w:lvl w:ilvl="5">
      <w:start w:val="1"/>
      <w:numFmt w:val="lowerRoman"/>
      <w:lvlText w:val="%6."/>
      <w:lvlJc w:val="right"/>
      <w:pPr>
        <w:tabs>
          <w:tab w:val="num" w:pos="0"/>
        </w:tabs>
        <w:ind w:left="5090" w:hanging="180"/>
      </w:pPr>
      <w:rPr>
        <w:vertAlign w:val="baseline"/>
        <w:position w:val="0"/>
        <w:sz w:val="22"/>
        <w:sz w:val="22"/>
        <w:szCs w:val="22"/>
      </w:rPr>
    </w:lvl>
    <w:lvl w:ilvl="6">
      <w:start w:val="1"/>
      <w:numFmt w:val="decimal"/>
      <w:lvlText w:val="%7."/>
      <w:lvlJc w:val="left"/>
      <w:pPr>
        <w:tabs>
          <w:tab w:val="num" w:pos="0"/>
        </w:tabs>
        <w:ind w:left="5810" w:hanging="360"/>
      </w:pPr>
      <w:rPr>
        <w:vertAlign w:val="baseline"/>
        <w:position w:val="0"/>
        <w:sz w:val="22"/>
        <w:sz w:val="22"/>
        <w:szCs w:val="22"/>
      </w:rPr>
    </w:lvl>
    <w:lvl w:ilvl="7">
      <w:start w:val="1"/>
      <w:numFmt w:val="lowerLetter"/>
      <w:lvlText w:val="%8."/>
      <w:lvlJc w:val="left"/>
      <w:pPr>
        <w:tabs>
          <w:tab w:val="num" w:pos="0"/>
        </w:tabs>
        <w:ind w:left="6530" w:hanging="360"/>
      </w:pPr>
      <w:rPr>
        <w:vertAlign w:val="baseline"/>
        <w:position w:val="0"/>
        <w:sz w:val="22"/>
        <w:sz w:val="22"/>
        <w:szCs w:val="22"/>
      </w:rPr>
    </w:lvl>
    <w:lvl w:ilvl="8">
      <w:start w:val="1"/>
      <w:numFmt w:val="lowerRoman"/>
      <w:lvlText w:val="%9."/>
      <w:lvlJc w:val="right"/>
      <w:pPr>
        <w:tabs>
          <w:tab w:val="num" w:pos="0"/>
        </w:tabs>
        <w:ind w:left="7250" w:hanging="180"/>
      </w:pPr>
      <w:rPr>
        <w:vertAlign w:val="baseline"/>
        <w:position w:val="0"/>
        <w:sz w:val="22"/>
        <w:sz w:val="22"/>
        <w:szCs w:val="22"/>
      </w:rPr>
    </w:lvl>
  </w:abstractNum>
  <w:abstractNum w:abstractNumId="4">
    <w:lvl w:ilvl="0">
      <w:start w:val="1"/>
      <w:numFmt w:val="bullet"/>
      <w:lvlText w:val="●"/>
      <w:lvlJc w:val="left"/>
      <w:pPr>
        <w:tabs>
          <w:tab w:val="num" w:pos="0"/>
        </w:tabs>
        <w:ind w:left="1800" w:hanging="360"/>
      </w:pPr>
      <w:rPr>
        <w:rFonts w:ascii="Noto Sans Symbols" w:hAnsi="Noto Sans Symbols" w:cs="Noto Sans Symbols" w:hint="default"/>
        <w:vertAlign w:val="baseline"/>
        <w:position w:val="0"/>
        <w:sz w:val="22"/>
        <w:sz w:val="22"/>
        <w:szCs w:val="22"/>
      </w:rPr>
    </w:lvl>
    <w:lvl w:ilvl="1">
      <w:start w:val="1"/>
      <w:numFmt w:val="bullet"/>
      <w:lvlText w:val="o"/>
      <w:lvlJc w:val="left"/>
      <w:pPr>
        <w:tabs>
          <w:tab w:val="num" w:pos="0"/>
        </w:tabs>
        <w:ind w:left="2520" w:hanging="360"/>
      </w:pPr>
      <w:rPr>
        <w:rFonts w:ascii="Courier New" w:hAnsi="Courier New" w:cs="Courier New" w:hint="default"/>
        <w:vertAlign w:val="baseline"/>
        <w:position w:val="0"/>
        <w:sz w:val="22"/>
        <w:sz w:val="22"/>
        <w:szCs w:val="22"/>
      </w:rPr>
    </w:lvl>
    <w:lvl w:ilvl="2">
      <w:start w:val="1"/>
      <w:numFmt w:val="bullet"/>
      <w:lvlText w:val="▪"/>
      <w:lvlJc w:val="left"/>
      <w:pPr>
        <w:tabs>
          <w:tab w:val="num" w:pos="0"/>
        </w:tabs>
        <w:ind w:left="3240" w:hanging="360"/>
      </w:pPr>
      <w:rPr>
        <w:rFonts w:ascii="Noto Sans Symbols" w:hAnsi="Noto Sans Symbols" w:cs="Noto Sans Symbols" w:hint="default"/>
        <w:vertAlign w:val="baseline"/>
        <w:position w:val="0"/>
        <w:sz w:val="22"/>
        <w:sz w:val="22"/>
        <w:szCs w:val="22"/>
      </w:rPr>
    </w:lvl>
    <w:lvl w:ilvl="3">
      <w:start w:val="1"/>
      <w:numFmt w:val="bullet"/>
      <w:lvlText w:val="●"/>
      <w:lvlJc w:val="left"/>
      <w:pPr>
        <w:tabs>
          <w:tab w:val="num" w:pos="0"/>
        </w:tabs>
        <w:ind w:left="3960" w:hanging="360"/>
      </w:pPr>
      <w:rPr>
        <w:rFonts w:ascii="Noto Sans Symbols" w:hAnsi="Noto Sans Symbols" w:cs="Noto Sans Symbols" w:hint="default"/>
        <w:vertAlign w:val="baseline"/>
        <w:position w:val="0"/>
        <w:sz w:val="22"/>
        <w:sz w:val="22"/>
        <w:szCs w:val="22"/>
      </w:rPr>
    </w:lvl>
    <w:lvl w:ilvl="4">
      <w:start w:val="1"/>
      <w:numFmt w:val="bullet"/>
      <w:lvlText w:val="o"/>
      <w:lvlJc w:val="left"/>
      <w:pPr>
        <w:tabs>
          <w:tab w:val="num" w:pos="0"/>
        </w:tabs>
        <w:ind w:left="4680" w:hanging="360"/>
      </w:pPr>
      <w:rPr>
        <w:rFonts w:ascii="Courier New" w:hAnsi="Courier New" w:cs="Courier New" w:hint="default"/>
        <w:vertAlign w:val="baseline"/>
        <w:position w:val="0"/>
        <w:sz w:val="22"/>
        <w:sz w:val="22"/>
        <w:szCs w:val="22"/>
      </w:rPr>
    </w:lvl>
    <w:lvl w:ilvl="5">
      <w:start w:val="1"/>
      <w:numFmt w:val="bullet"/>
      <w:lvlText w:val="▪"/>
      <w:lvlJc w:val="left"/>
      <w:pPr>
        <w:tabs>
          <w:tab w:val="num" w:pos="0"/>
        </w:tabs>
        <w:ind w:left="5400" w:hanging="360"/>
      </w:pPr>
      <w:rPr>
        <w:rFonts w:ascii="Noto Sans Symbols" w:hAnsi="Noto Sans Symbols" w:cs="Noto Sans Symbols" w:hint="default"/>
        <w:vertAlign w:val="baseline"/>
        <w:position w:val="0"/>
        <w:sz w:val="22"/>
        <w:sz w:val="22"/>
        <w:szCs w:val="22"/>
      </w:rPr>
    </w:lvl>
    <w:lvl w:ilvl="6">
      <w:start w:val="1"/>
      <w:numFmt w:val="bullet"/>
      <w:lvlText w:val="●"/>
      <w:lvlJc w:val="left"/>
      <w:pPr>
        <w:tabs>
          <w:tab w:val="num" w:pos="0"/>
        </w:tabs>
        <w:ind w:left="6120" w:hanging="360"/>
      </w:pPr>
      <w:rPr>
        <w:rFonts w:ascii="Noto Sans Symbols" w:hAnsi="Noto Sans Symbols" w:cs="Noto Sans Symbols" w:hint="default"/>
        <w:vertAlign w:val="baseline"/>
        <w:position w:val="0"/>
        <w:sz w:val="22"/>
        <w:sz w:val="22"/>
        <w:szCs w:val="22"/>
      </w:rPr>
    </w:lvl>
    <w:lvl w:ilvl="7">
      <w:start w:val="1"/>
      <w:numFmt w:val="bullet"/>
      <w:lvlText w:val="o"/>
      <w:lvlJc w:val="left"/>
      <w:pPr>
        <w:tabs>
          <w:tab w:val="num" w:pos="0"/>
        </w:tabs>
        <w:ind w:left="6840" w:hanging="360"/>
      </w:pPr>
      <w:rPr>
        <w:rFonts w:ascii="Courier New" w:hAnsi="Courier New" w:cs="Courier New" w:hint="default"/>
        <w:vertAlign w:val="baseline"/>
        <w:position w:val="0"/>
        <w:sz w:val="22"/>
        <w:sz w:val="22"/>
        <w:szCs w:val="22"/>
      </w:rPr>
    </w:lvl>
    <w:lvl w:ilvl="8">
      <w:start w:val="1"/>
      <w:numFmt w:val="bullet"/>
      <w:lvlText w:val="▪"/>
      <w:lvlJc w:val="left"/>
      <w:pPr>
        <w:tabs>
          <w:tab w:val="num" w:pos="0"/>
        </w:tabs>
        <w:ind w:left="7560" w:hanging="360"/>
      </w:pPr>
      <w:rPr>
        <w:rFonts w:ascii="Noto Sans Symbols" w:hAnsi="Noto Sans Symbols" w:cs="Noto Sans Symbols" w:hint="default"/>
        <w:vertAlign w:val="baseline"/>
        <w:position w:val="0"/>
        <w:sz w:val="22"/>
        <w:sz w:val="22"/>
        <w:szCs w:val="22"/>
      </w:rPr>
    </w:lvl>
  </w:abstractNum>
  <w:abstractNum w:abstractNumId="5">
    <w:lvl w:ilvl="0">
      <w:start w:val="1"/>
      <w:numFmt w:val="lowerLetter"/>
      <w:lvlText w:val="%1)"/>
      <w:lvlJc w:val="left"/>
      <w:pPr>
        <w:tabs>
          <w:tab w:val="num" w:pos="0"/>
        </w:tabs>
        <w:ind w:left="1571" w:hanging="360"/>
      </w:pPr>
      <w:rPr>
        <w:vertAlign w:val="baseline"/>
        <w:position w:val="0"/>
        <w:sz w:val="22"/>
        <w:sz w:val="22"/>
        <w:szCs w:val="22"/>
      </w:rPr>
    </w:lvl>
    <w:lvl w:ilvl="1">
      <w:start w:val="1"/>
      <w:numFmt w:val="bullet"/>
      <w:lvlText w:val=""/>
      <w:lvlJc w:val="left"/>
      <w:pPr>
        <w:tabs>
          <w:tab w:val="num" w:pos="0"/>
        </w:tabs>
        <w:ind w:left="0" w:hanging="0"/>
      </w:pPr>
      <w:rPr>
        <w:rFonts w:ascii="Noto Sans Symbols" w:hAnsi="Noto Sans Symbols" w:cs="Noto Sans Symbols" w:hint="default"/>
      </w:rPr>
    </w:lvl>
    <w:lvl w:ilvl="2">
      <w:start w:val="1"/>
      <w:numFmt w:val="bullet"/>
      <w:lvlText w:val=""/>
      <w:lvlJc w:val="left"/>
      <w:pPr>
        <w:tabs>
          <w:tab w:val="num" w:pos="0"/>
        </w:tabs>
        <w:ind w:left="0" w:hanging="0"/>
      </w:pPr>
      <w:rPr>
        <w:rFonts w:ascii="Noto Sans Symbols" w:hAnsi="Noto Sans Symbols" w:cs="Noto Sans Symbols" w:hint="default"/>
      </w:rPr>
    </w:lvl>
    <w:lvl w:ilvl="3">
      <w:start w:val="1"/>
      <w:numFmt w:val="bullet"/>
      <w:lvlText w:val=""/>
      <w:lvlJc w:val="left"/>
      <w:pPr>
        <w:tabs>
          <w:tab w:val="num" w:pos="0"/>
        </w:tabs>
        <w:ind w:left="0" w:hanging="0"/>
      </w:pPr>
      <w:rPr>
        <w:rFonts w:ascii="Noto Sans Symbols" w:hAnsi="Noto Sans Symbols" w:cs="Noto Sans Symbols" w:hint="default"/>
      </w:rPr>
    </w:lvl>
    <w:lvl w:ilvl="4">
      <w:start w:val="1"/>
      <w:numFmt w:val="bullet"/>
      <w:lvlText w:val=""/>
      <w:lvlJc w:val="left"/>
      <w:pPr>
        <w:tabs>
          <w:tab w:val="num" w:pos="0"/>
        </w:tabs>
        <w:ind w:left="0" w:hanging="0"/>
      </w:pPr>
      <w:rPr>
        <w:rFonts w:ascii="Noto Sans Symbols" w:hAnsi="Noto Sans Symbols" w:cs="Noto Sans Symbols" w:hint="default"/>
      </w:rPr>
    </w:lvl>
    <w:lvl w:ilvl="5">
      <w:start w:val="1"/>
      <w:numFmt w:val="bullet"/>
      <w:lvlText w:val=""/>
      <w:lvlJc w:val="left"/>
      <w:pPr>
        <w:tabs>
          <w:tab w:val="num" w:pos="0"/>
        </w:tabs>
        <w:ind w:left="0" w:hanging="0"/>
      </w:pPr>
      <w:rPr>
        <w:rFonts w:ascii="Noto Sans Symbols" w:hAnsi="Noto Sans Symbols" w:cs="Noto Sans Symbols" w:hint="default"/>
      </w:rPr>
    </w:lvl>
    <w:lvl w:ilvl="6">
      <w:start w:val="1"/>
      <w:numFmt w:val="bullet"/>
      <w:lvlText w:val=""/>
      <w:lvlJc w:val="left"/>
      <w:pPr>
        <w:tabs>
          <w:tab w:val="num" w:pos="0"/>
        </w:tabs>
        <w:ind w:left="0" w:hanging="0"/>
      </w:pPr>
      <w:rPr>
        <w:rFonts w:ascii="Noto Sans Symbols" w:hAnsi="Noto Sans Symbols" w:cs="Noto Sans Symbols" w:hint="default"/>
      </w:rPr>
    </w:lvl>
    <w:lvl w:ilvl="7">
      <w:start w:val="1"/>
      <w:numFmt w:val="bullet"/>
      <w:lvlText w:val=""/>
      <w:lvlJc w:val="left"/>
      <w:pPr>
        <w:tabs>
          <w:tab w:val="num" w:pos="0"/>
        </w:tabs>
        <w:ind w:left="0" w:hanging="0"/>
      </w:pPr>
      <w:rPr>
        <w:rFonts w:ascii="Noto Sans Symbols" w:hAnsi="Noto Sans Symbols" w:cs="Noto Sans Symbols" w:hint="default"/>
      </w:rPr>
    </w:lvl>
    <w:lvl w:ilvl="8">
      <w:start w:val="1"/>
      <w:numFmt w:val="bullet"/>
      <w:lvlText w:val=""/>
      <w:lvlJc w:val="left"/>
      <w:pPr>
        <w:tabs>
          <w:tab w:val="num" w:pos="0"/>
        </w:tabs>
        <w:ind w:left="0" w:hanging="0"/>
      </w:pPr>
      <w:rPr>
        <w:rFonts w:ascii="Noto Sans Symbols" w:hAnsi="Noto Sans Symbols" w:cs="Noto Sans Symbols" w:hint="default"/>
      </w:rPr>
    </w:lvl>
  </w:abstractNum>
  <w:abstractNum w:abstractNumId="6">
    <w:lvl w:ilvl="0">
      <w:start w:val="1"/>
      <w:numFmt w:val="bullet"/>
      <w:lvlText w:val="●"/>
      <w:lvlJc w:val="left"/>
      <w:pPr>
        <w:tabs>
          <w:tab w:val="num" w:pos="0"/>
        </w:tabs>
        <w:ind w:left="1571" w:hanging="360"/>
      </w:pPr>
      <w:rPr>
        <w:rFonts w:ascii="Noto Sans Symbols" w:hAnsi="Noto Sans Symbols" w:cs="Noto Sans Symbols" w:hint="default"/>
        <w:vertAlign w:val="baseline"/>
        <w:position w:val="0"/>
        <w:sz w:val="22"/>
        <w:sz w:val="22"/>
        <w:szCs w:val="22"/>
      </w:rPr>
    </w:lvl>
    <w:lvl w:ilvl="1">
      <w:start w:val="1"/>
      <w:numFmt w:val="bullet"/>
      <w:lvlText w:val=""/>
      <w:lvlJc w:val="left"/>
      <w:pPr>
        <w:tabs>
          <w:tab w:val="num" w:pos="0"/>
        </w:tabs>
        <w:ind w:left="0" w:hanging="0"/>
      </w:pPr>
      <w:rPr>
        <w:rFonts w:ascii="Noto Sans Symbols" w:hAnsi="Noto Sans Symbols" w:cs="Noto Sans Symbols" w:hint="default"/>
      </w:rPr>
    </w:lvl>
    <w:lvl w:ilvl="2">
      <w:start w:val="1"/>
      <w:numFmt w:val="bullet"/>
      <w:lvlText w:val=""/>
      <w:lvlJc w:val="left"/>
      <w:pPr>
        <w:tabs>
          <w:tab w:val="num" w:pos="0"/>
        </w:tabs>
        <w:ind w:left="0" w:hanging="0"/>
      </w:pPr>
      <w:rPr>
        <w:rFonts w:ascii="Noto Sans Symbols" w:hAnsi="Noto Sans Symbols" w:cs="Noto Sans Symbols" w:hint="default"/>
      </w:rPr>
    </w:lvl>
    <w:lvl w:ilvl="3">
      <w:start w:val="1"/>
      <w:numFmt w:val="bullet"/>
      <w:lvlText w:val=""/>
      <w:lvlJc w:val="left"/>
      <w:pPr>
        <w:tabs>
          <w:tab w:val="num" w:pos="0"/>
        </w:tabs>
        <w:ind w:left="0" w:hanging="0"/>
      </w:pPr>
      <w:rPr>
        <w:rFonts w:ascii="Noto Sans Symbols" w:hAnsi="Noto Sans Symbols" w:cs="Noto Sans Symbols" w:hint="default"/>
      </w:rPr>
    </w:lvl>
    <w:lvl w:ilvl="4">
      <w:start w:val="1"/>
      <w:numFmt w:val="bullet"/>
      <w:lvlText w:val=""/>
      <w:lvlJc w:val="left"/>
      <w:pPr>
        <w:tabs>
          <w:tab w:val="num" w:pos="0"/>
        </w:tabs>
        <w:ind w:left="0" w:hanging="0"/>
      </w:pPr>
      <w:rPr>
        <w:rFonts w:ascii="Noto Sans Symbols" w:hAnsi="Noto Sans Symbols" w:cs="Noto Sans Symbols" w:hint="default"/>
      </w:rPr>
    </w:lvl>
    <w:lvl w:ilvl="5">
      <w:start w:val="1"/>
      <w:numFmt w:val="bullet"/>
      <w:lvlText w:val=""/>
      <w:lvlJc w:val="left"/>
      <w:pPr>
        <w:tabs>
          <w:tab w:val="num" w:pos="0"/>
        </w:tabs>
        <w:ind w:left="0" w:hanging="0"/>
      </w:pPr>
      <w:rPr>
        <w:rFonts w:ascii="Noto Sans Symbols" w:hAnsi="Noto Sans Symbols" w:cs="Noto Sans Symbols" w:hint="default"/>
      </w:rPr>
    </w:lvl>
    <w:lvl w:ilvl="6">
      <w:start w:val="1"/>
      <w:numFmt w:val="bullet"/>
      <w:lvlText w:val=""/>
      <w:lvlJc w:val="left"/>
      <w:pPr>
        <w:tabs>
          <w:tab w:val="num" w:pos="0"/>
        </w:tabs>
        <w:ind w:left="0" w:hanging="0"/>
      </w:pPr>
      <w:rPr>
        <w:rFonts w:ascii="Noto Sans Symbols" w:hAnsi="Noto Sans Symbols" w:cs="Noto Sans Symbols" w:hint="default"/>
      </w:rPr>
    </w:lvl>
    <w:lvl w:ilvl="7">
      <w:start w:val="1"/>
      <w:numFmt w:val="bullet"/>
      <w:lvlText w:val=""/>
      <w:lvlJc w:val="left"/>
      <w:pPr>
        <w:tabs>
          <w:tab w:val="num" w:pos="0"/>
        </w:tabs>
        <w:ind w:left="0" w:hanging="0"/>
      </w:pPr>
      <w:rPr>
        <w:rFonts w:ascii="Noto Sans Symbols" w:hAnsi="Noto Sans Symbols" w:cs="Noto Sans Symbols" w:hint="default"/>
      </w:rPr>
    </w:lvl>
    <w:lvl w:ilvl="8">
      <w:start w:val="1"/>
      <w:numFmt w:val="bullet"/>
      <w:lvlText w:val=""/>
      <w:lvlJc w:val="left"/>
      <w:pPr>
        <w:tabs>
          <w:tab w:val="num" w:pos="0"/>
        </w:tabs>
        <w:ind w:left="0" w:hanging="0"/>
      </w:pPr>
      <w:rPr>
        <w:rFonts w:ascii="Noto Sans Symbols" w:hAnsi="Noto Sans Symbols" w:cs="Noto Sans Symbols" w:hint="default"/>
      </w:rPr>
    </w:lvl>
  </w:abstractNum>
  <w:abstractNum w:abstractNumId="7">
    <w:lvl w:ilvl="0">
      <w:start w:val="1"/>
      <w:numFmt w:val="bullet"/>
      <w:lvlText w:val="●"/>
      <w:lvlJc w:val="left"/>
      <w:pPr>
        <w:tabs>
          <w:tab w:val="num" w:pos="0"/>
        </w:tabs>
        <w:ind w:left="1571" w:hanging="360"/>
      </w:pPr>
      <w:rPr>
        <w:rFonts w:ascii="Noto Sans Symbols" w:hAnsi="Noto Sans Symbols" w:cs="Noto Sans Symbols" w:hint="default"/>
        <w:vertAlign w:val="baseline"/>
        <w:position w:val="0"/>
        <w:sz w:val="22"/>
        <w:sz w:val="22"/>
        <w:szCs w:val="22"/>
      </w:rPr>
    </w:lvl>
    <w:lvl w:ilvl="1">
      <w:start w:val="1"/>
      <w:numFmt w:val="bullet"/>
      <w:lvlText w:val=""/>
      <w:lvlJc w:val="left"/>
      <w:pPr>
        <w:tabs>
          <w:tab w:val="num" w:pos="0"/>
        </w:tabs>
        <w:ind w:left="0" w:hanging="0"/>
      </w:pPr>
      <w:rPr>
        <w:rFonts w:ascii="Noto Sans Symbols" w:hAnsi="Noto Sans Symbols" w:cs="Noto Sans Symbols" w:hint="default"/>
      </w:rPr>
    </w:lvl>
    <w:lvl w:ilvl="2">
      <w:start w:val="1"/>
      <w:numFmt w:val="bullet"/>
      <w:lvlText w:val=""/>
      <w:lvlJc w:val="left"/>
      <w:pPr>
        <w:tabs>
          <w:tab w:val="num" w:pos="0"/>
        </w:tabs>
        <w:ind w:left="0" w:hanging="0"/>
      </w:pPr>
      <w:rPr>
        <w:rFonts w:ascii="Noto Sans Symbols" w:hAnsi="Noto Sans Symbols" w:cs="Noto Sans Symbols" w:hint="default"/>
      </w:rPr>
    </w:lvl>
    <w:lvl w:ilvl="3">
      <w:start w:val="1"/>
      <w:numFmt w:val="bullet"/>
      <w:lvlText w:val=""/>
      <w:lvlJc w:val="left"/>
      <w:pPr>
        <w:tabs>
          <w:tab w:val="num" w:pos="0"/>
        </w:tabs>
        <w:ind w:left="0" w:hanging="0"/>
      </w:pPr>
      <w:rPr>
        <w:rFonts w:ascii="Noto Sans Symbols" w:hAnsi="Noto Sans Symbols" w:cs="Noto Sans Symbols" w:hint="default"/>
      </w:rPr>
    </w:lvl>
    <w:lvl w:ilvl="4">
      <w:start w:val="1"/>
      <w:numFmt w:val="bullet"/>
      <w:lvlText w:val=""/>
      <w:lvlJc w:val="left"/>
      <w:pPr>
        <w:tabs>
          <w:tab w:val="num" w:pos="0"/>
        </w:tabs>
        <w:ind w:left="0" w:hanging="0"/>
      </w:pPr>
      <w:rPr>
        <w:rFonts w:ascii="Noto Sans Symbols" w:hAnsi="Noto Sans Symbols" w:cs="Noto Sans Symbols" w:hint="default"/>
      </w:rPr>
    </w:lvl>
    <w:lvl w:ilvl="5">
      <w:start w:val="1"/>
      <w:numFmt w:val="bullet"/>
      <w:lvlText w:val=""/>
      <w:lvlJc w:val="left"/>
      <w:pPr>
        <w:tabs>
          <w:tab w:val="num" w:pos="0"/>
        </w:tabs>
        <w:ind w:left="0" w:hanging="0"/>
      </w:pPr>
      <w:rPr>
        <w:rFonts w:ascii="Noto Sans Symbols" w:hAnsi="Noto Sans Symbols" w:cs="Noto Sans Symbols" w:hint="default"/>
      </w:rPr>
    </w:lvl>
    <w:lvl w:ilvl="6">
      <w:start w:val="1"/>
      <w:numFmt w:val="bullet"/>
      <w:lvlText w:val=""/>
      <w:lvlJc w:val="left"/>
      <w:pPr>
        <w:tabs>
          <w:tab w:val="num" w:pos="0"/>
        </w:tabs>
        <w:ind w:left="0" w:hanging="0"/>
      </w:pPr>
      <w:rPr>
        <w:rFonts w:ascii="Noto Sans Symbols" w:hAnsi="Noto Sans Symbols" w:cs="Noto Sans Symbols" w:hint="default"/>
      </w:rPr>
    </w:lvl>
    <w:lvl w:ilvl="7">
      <w:start w:val="1"/>
      <w:numFmt w:val="bullet"/>
      <w:lvlText w:val=""/>
      <w:lvlJc w:val="left"/>
      <w:pPr>
        <w:tabs>
          <w:tab w:val="num" w:pos="0"/>
        </w:tabs>
        <w:ind w:left="0" w:hanging="0"/>
      </w:pPr>
      <w:rPr>
        <w:rFonts w:ascii="Noto Sans Symbols" w:hAnsi="Noto Sans Symbols" w:cs="Noto Sans Symbols" w:hint="default"/>
      </w:rPr>
    </w:lvl>
    <w:lvl w:ilvl="8">
      <w:start w:val="1"/>
      <w:numFmt w:val="bullet"/>
      <w:lvlText w:val=""/>
      <w:lvlJc w:val="left"/>
      <w:pPr>
        <w:tabs>
          <w:tab w:val="num" w:pos="0"/>
        </w:tabs>
        <w:ind w:left="0" w:hanging="0"/>
      </w:pPr>
      <w:rPr>
        <w:rFonts w:ascii="Noto Sans Symbols" w:hAnsi="Noto Sans Symbols" w:cs="Noto Sans Symbols" w:hint="default"/>
      </w:rPr>
    </w:lvl>
  </w:abstractNum>
  <w:abstractNum w:abstractNumId="8">
    <w:lvl w:ilvl="0">
      <w:start w:val="1"/>
      <w:numFmt w:val="lowerLetter"/>
      <w:lvlText w:val="%1)"/>
      <w:lvlJc w:val="left"/>
      <w:pPr>
        <w:tabs>
          <w:tab w:val="num" w:pos="0"/>
        </w:tabs>
        <w:ind w:left="1571" w:hanging="360"/>
      </w:pPr>
      <w:rPr>
        <w:vertAlign w:val="baseline"/>
        <w:position w:val="0"/>
        <w:sz w:val="22"/>
        <w:sz w:val="22"/>
        <w:szCs w:val="22"/>
      </w:rPr>
    </w:lvl>
    <w:lvl w:ilvl="1">
      <w:start w:val="1"/>
      <w:numFmt w:val="bullet"/>
      <w:lvlText w:val=""/>
      <w:lvlJc w:val="left"/>
      <w:pPr>
        <w:tabs>
          <w:tab w:val="num" w:pos="0"/>
        </w:tabs>
        <w:ind w:left="0" w:hanging="0"/>
      </w:pPr>
      <w:rPr>
        <w:rFonts w:ascii="Noto Sans Symbols" w:hAnsi="Noto Sans Symbols" w:cs="Noto Sans Symbols" w:hint="default"/>
      </w:rPr>
    </w:lvl>
    <w:lvl w:ilvl="2">
      <w:start w:val="1"/>
      <w:numFmt w:val="bullet"/>
      <w:lvlText w:val=""/>
      <w:lvlJc w:val="left"/>
      <w:pPr>
        <w:tabs>
          <w:tab w:val="num" w:pos="0"/>
        </w:tabs>
        <w:ind w:left="0" w:hanging="0"/>
      </w:pPr>
      <w:rPr>
        <w:rFonts w:ascii="Noto Sans Symbols" w:hAnsi="Noto Sans Symbols" w:cs="Noto Sans Symbols" w:hint="default"/>
      </w:rPr>
    </w:lvl>
    <w:lvl w:ilvl="3">
      <w:start w:val="1"/>
      <w:numFmt w:val="bullet"/>
      <w:lvlText w:val=""/>
      <w:lvlJc w:val="left"/>
      <w:pPr>
        <w:tabs>
          <w:tab w:val="num" w:pos="0"/>
        </w:tabs>
        <w:ind w:left="0" w:hanging="0"/>
      </w:pPr>
      <w:rPr>
        <w:rFonts w:ascii="Noto Sans Symbols" w:hAnsi="Noto Sans Symbols" w:cs="Noto Sans Symbols" w:hint="default"/>
      </w:rPr>
    </w:lvl>
    <w:lvl w:ilvl="4">
      <w:start w:val="1"/>
      <w:numFmt w:val="bullet"/>
      <w:lvlText w:val=""/>
      <w:lvlJc w:val="left"/>
      <w:pPr>
        <w:tabs>
          <w:tab w:val="num" w:pos="0"/>
        </w:tabs>
        <w:ind w:left="0" w:hanging="0"/>
      </w:pPr>
      <w:rPr>
        <w:rFonts w:ascii="Noto Sans Symbols" w:hAnsi="Noto Sans Symbols" w:cs="Noto Sans Symbols" w:hint="default"/>
      </w:rPr>
    </w:lvl>
    <w:lvl w:ilvl="5">
      <w:start w:val="1"/>
      <w:numFmt w:val="bullet"/>
      <w:lvlText w:val=""/>
      <w:lvlJc w:val="left"/>
      <w:pPr>
        <w:tabs>
          <w:tab w:val="num" w:pos="0"/>
        </w:tabs>
        <w:ind w:left="0" w:hanging="0"/>
      </w:pPr>
      <w:rPr>
        <w:rFonts w:ascii="Noto Sans Symbols" w:hAnsi="Noto Sans Symbols" w:cs="Noto Sans Symbols" w:hint="default"/>
      </w:rPr>
    </w:lvl>
    <w:lvl w:ilvl="6">
      <w:start w:val="1"/>
      <w:numFmt w:val="bullet"/>
      <w:lvlText w:val=""/>
      <w:lvlJc w:val="left"/>
      <w:pPr>
        <w:tabs>
          <w:tab w:val="num" w:pos="0"/>
        </w:tabs>
        <w:ind w:left="0" w:hanging="0"/>
      </w:pPr>
      <w:rPr>
        <w:rFonts w:ascii="Noto Sans Symbols" w:hAnsi="Noto Sans Symbols" w:cs="Noto Sans Symbols" w:hint="default"/>
      </w:rPr>
    </w:lvl>
    <w:lvl w:ilvl="7">
      <w:start w:val="1"/>
      <w:numFmt w:val="bullet"/>
      <w:lvlText w:val=""/>
      <w:lvlJc w:val="left"/>
      <w:pPr>
        <w:tabs>
          <w:tab w:val="num" w:pos="0"/>
        </w:tabs>
        <w:ind w:left="0" w:hanging="0"/>
      </w:pPr>
      <w:rPr>
        <w:rFonts w:ascii="Noto Sans Symbols" w:hAnsi="Noto Sans Symbols" w:cs="Noto Sans Symbols" w:hint="default"/>
      </w:rPr>
    </w:lvl>
    <w:lvl w:ilvl="8">
      <w:start w:val="1"/>
      <w:numFmt w:val="bullet"/>
      <w:lvlText w:val=""/>
      <w:lvlJc w:val="left"/>
      <w:pPr>
        <w:tabs>
          <w:tab w:val="num" w:pos="0"/>
        </w:tabs>
        <w:ind w:left="0" w:hanging="0"/>
      </w:pPr>
      <w:rPr>
        <w:rFonts w:ascii="Noto Sans Symbols" w:hAnsi="Noto Sans Symbols" w:cs="Noto Sans Symbols" w:hint="default"/>
      </w:rPr>
    </w:lvl>
  </w:abstractNum>
  <w:abstractNum w:abstractNumId="9">
    <w:lvl w:ilvl="0">
      <w:start w:val="1"/>
      <w:numFmt w:val="decimal"/>
      <w:lvlText w:val="%1."/>
      <w:lvlJc w:val="left"/>
      <w:pPr>
        <w:tabs>
          <w:tab w:val="num" w:pos="0"/>
        </w:tabs>
        <w:ind w:left="720" w:hanging="360"/>
      </w:pPr>
      <w:rPr>
        <w:vertAlign w:val="baseline"/>
        <w:position w:val="0"/>
        <w:sz w:val="22"/>
        <w:sz w:val="22"/>
        <w:szCs w:val="22"/>
      </w:rPr>
    </w:lvl>
    <w:lvl w:ilvl="1">
      <w:start w:val="1"/>
      <w:numFmt w:val="decimal"/>
      <w:lvlText w:val="%2."/>
      <w:lvlJc w:val="left"/>
      <w:pPr>
        <w:tabs>
          <w:tab w:val="num" w:pos="0"/>
        </w:tabs>
        <w:ind w:left="1440" w:hanging="360"/>
      </w:pPr>
      <w:rPr>
        <w:vertAlign w:val="baseline"/>
        <w:position w:val="0"/>
        <w:sz w:val="22"/>
        <w:sz w:val="22"/>
        <w:szCs w:val="22"/>
      </w:rPr>
    </w:lvl>
    <w:lvl w:ilvl="2">
      <w:start w:val="1"/>
      <w:numFmt w:val="decimal"/>
      <w:lvlText w:val="%3."/>
      <w:lvlJc w:val="left"/>
      <w:pPr>
        <w:tabs>
          <w:tab w:val="num" w:pos="0"/>
        </w:tabs>
        <w:ind w:left="2160" w:hanging="360"/>
      </w:pPr>
      <w:rPr>
        <w:vertAlign w:val="baseline"/>
        <w:position w:val="0"/>
        <w:sz w:val="22"/>
        <w:sz w:val="22"/>
        <w:szCs w:val="22"/>
      </w:rPr>
    </w:lvl>
    <w:lvl w:ilvl="3">
      <w:start w:val="1"/>
      <w:numFmt w:val="decimal"/>
      <w:lvlText w:val="%4."/>
      <w:lvlJc w:val="left"/>
      <w:pPr>
        <w:tabs>
          <w:tab w:val="num" w:pos="0"/>
        </w:tabs>
        <w:ind w:left="2880" w:hanging="360"/>
      </w:pPr>
      <w:rPr>
        <w:vertAlign w:val="baseline"/>
        <w:position w:val="0"/>
        <w:sz w:val="22"/>
        <w:sz w:val="22"/>
        <w:szCs w:val="22"/>
      </w:rPr>
    </w:lvl>
    <w:lvl w:ilvl="4">
      <w:start w:val="1"/>
      <w:numFmt w:val="decimal"/>
      <w:lvlText w:val="%5."/>
      <w:lvlJc w:val="left"/>
      <w:pPr>
        <w:tabs>
          <w:tab w:val="num" w:pos="0"/>
        </w:tabs>
        <w:ind w:left="3600" w:hanging="360"/>
      </w:pPr>
      <w:rPr>
        <w:vertAlign w:val="baseline"/>
        <w:position w:val="0"/>
        <w:sz w:val="22"/>
        <w:sz w:val="22"/>
        <w:szCs w:val="22"/>
      </w:rPr>
    </w:lvl>
    <w:lvl w:ilvl="5">
      <w:start w:val="1"/>
      <w:numFmt w:val="decimal"/>
      <w:lvlText w:val="%6."/>
      <w:lvlJc w:val="left"/>
      <w:pPr>
        <w:tabs>
          <w:tab w:val="num" w:pos="0"/>
        </w:tabs>
        <w:ind w:left="4320" w:hanging="360"/>
      </w:pPr>
      <w:rPr>
        <w:vertAlign w:val="baseline"/>
        <w:position w:val="0"/>
        <w:sz w:val="22"/>
        <w:sz w:val="22"/>
        <w:szCs w:val="22"/>
      </w:rPr>
    </w:lvl>
    <w:lvl w:ilvl="6">
      <w:start w:val="1"/>
      <w:numFmt w:val="decimal"/>
      <w:lvlText w:val="%7."/>
      <w:lvlJc w:val="left"/>
      <w:pPr>
        <w:tabs>
          <w:tab w:val="num" w:pos="0"/>
        </w:tabs>
        <w:ind w:left="5040" w:hanging="360"/>
      </w:pPr>
      <w:rPr>
        <w:vertAlign w:val="baseline"/>
        <w:position w:val="0"/>
        <w:sz w:val="22"/>
        <w:sz w:val="22"/>
        <w:szCs w:val="22"/>
      </w:rPr>
    </w:lvl>
    <w:lvl w:ilvl="7">
      <w:start w:val="1"/>
      <w:numFmt w:val="decimal"/>
      <w:lvlText w:val="%8."/>
      <w:lvlJc w:val="left"/>
      <w:pPr>
        <w:tabs>
          <w:tab w:val="num" w:pos="0"/>
        </w:tabs>
        <w:ind w:left="5760" w:hanging="360"/>
      </w:pPr>
      <w:rPr>
        <w:vertAlign w:val="baseline"/>
        <w:position w:val="0"/>
        <w:sz w:val="22"/>
        <w:sz w:val="22"/>
        <w:szCs w:val="22"/>
      </w:rPr>
    </w:lvl>
    <w:lvl w:ilvl="8">
      <w:start w:val="1"/>
      <w:numFmt w:val="decimal"/>
      <w:lvlText w:val="%9."/>
      <w:lvlJc w:val="left"/>
      <w:pPr>
        <w:tabs>
          <w:tab w:val="num" w:pos="0"/>
        </w:tabs>
        <w:ind w:left="6480" w:hanging="360"/>
      </w:pPr>
      <w:rPr>
        <w:vertAlign w:val="baseline"/>
        <w:position w:val="0"/>
        <w:sz w:val="22"/>
        <w:sz w:val="22"/>
        <w:szCs w:val="22"/>
      </w:rPr>
    </w:lvl>
  </w:abstractNum>
  <w:abstractNum w:abstractNumId="10">
    <w:lvl w:ilvl="0">
      <w:start w:val="1"/>
      <w:numFmt w:val="bullet"/>
      <w:lvlText w:val=""/>
      <w:lvlJc w:val="left"/>
      <w:pPr>
        <w:tabs>
          <w:tab w:val="num" w:pos="720"/>
        </w:tabs>
        <w:ind w:left="720" w:hanging="360"/>
      </w:pPr>
      <w:rPr>
        <w:rFonts w:ascii="Symbol" w:hAnsi="Symbol" w:cs="Symbol" w:hint="default"/>
        <w:shd w:fill="auto" w:val="clear"/>
      </w:rPr>
    </w:lvl>
    <w:lvl w:ilvl="1">
      <w:start w:val="1"/>
      <w:numFmt w:val="bullet"/>
      <w:lvlText w:val="◦"/>
      <w:lvlJc w:val="left"/>
      <w:pPr>
        <w:tabs>
          <w:tab w:val="num" w:pos="1080"/>
        </w:tabs>
        <w:ind w:left="1080" w:hanging="360"/>
      </w:pPr>
      <w:rPr>
        <w:rFonts w:ascii="OpenSymbol" w:hAnsi="OpenSymbol" w:cs="OpenSymbol" w:hint="default"/>
        <w:shd w:fill="auto" w:val="clear"/>
      </w:rPr>
    </w:lvl>
    <w:lvl w:ilvl="2">
      <w:start w:val="1"/>
      <w:numFmt w:val="bullet"/>
      <w:lvlText w:val="▪"/>
      <w:lvlJc w:val="left"/>
      <w:pPr>
        <w:tabs>
          <w:tab w:val="num" w:pos="1440"/>
        </w:tabs>
        <w:ind w:left="1440" w:hanging="360"/>
      </w:pPr>
      <w:rPr>
        <w:rFonts w:ascii="OpenSymbol" w:hAnsi="OpenSymbol" w:cs="OpenSymbol" w:hint="default"/>
        <w:shd w:fill="auto" w:val="clear"/>
      </w:rPr>
    </w:lvl>
    <w:lvl w:ilvl="3">
      <w:start w:val="1"/>
      <w:numFmt w:val="bullet"/>
      <w:lvlText w:val=""/>
      <w:lvlJc w:val="left"/>
      <w:pPr>
        <w:tabs>
          <w:tab w:val="num" w:pos="1800"/>
        </w:tabs>
        <w:ind w:left="1800" w:hanging="360"/>
      </w:pPr>
      <w:rPr>
        <w:rFonts w:ascii="Symbol" w:hAnsi="Symbol" w:cs="Symbol" w:hint="default"/>
        <w:shd w:fill="auto" w:val="clear"/>
      </w:rPr>
    </w:lvl>
    <w:lvl w:ilvl="4">
      <w:start w:val="1"/>
      <w:numFmt w:val="bullet"/>
      <w:lvlText w:val="◦"/>
      <w:lvlJc w:val="left"/>
      <w:pPr>
        <w:tabs>
          <w:tab w:val="num" w:pos="2160"/>
        </w:tabs>
        <w:ind w:left="2160" w:hanging="360"/>
      </w:pPr>
      <w:rPr>
        <w:rFonts w:ascii="OpenSymbol" w:hAnsi="OpenSymbol" w:cs="OpenSymbol" w:hint="default"/>
        <w:shd w:fill="auto" w:val="clear"/>
      </w:rPr>
    </w:lvl>
    <w:lvl w:ilvl="5">
      <w:start w:val="1"/>
      <w:numFmt w:val="bullet"/>
      <w:lvlText w:val="▪"/>
      <w:lvlJc w:val="left"/>
      <w:pPr>
        <w:tabs>
          <w:tab w:val="num" w:pos="2520"/>
        </w:tabs>
        <w:ind w:left="2520" w:hanging="360"/>
      </w:pPr>
      <w:rPr>
        <w:rFonts w:ascii="OpenSymbol" w:hAnsi="OpenSymbol" w:cs="OpenSymbol" w:hint="default"/>
        <w:shd w:fill="auto" w:val="clear"/>
      </w:rPr>
    </w:lvl>
    <w:lvl w:ilvl="6">
      <w:start w:val="1"/>
      <w:numFmt w:val="bullet"/>
      <w:lvlText w:val=""/>
      <w:lvlJc w:val="left"/>
      <w:pPr>
        <w:tabs>
          <w:tab w:val="num" w:pos="2880"/>
        </w:tabs>
        <w:ind w:left="2880" w:hanging="360"/>
      </w:pPr>
      <w:rPr>
        <w:rFonts w:ascii="Symbol" w:hAnsi="Symbol" w:cs="Symbol" w:hint="default"/>
        <w:shd w:fill="auto" w:val="clear"/>
      </w:rPr>
    </w:lvl>
    <w:lvl w:ilvl="7">
      <w:start w:val="1"/>
      <w:numFmt w:val="bullet"/>
      <w:lvlText w:val="◦"/>
      <w:lvlJc w:val="left"/>
      <w:pPr>
        <w:tabs>
          <w:tab w:val="num" w:pos="3240"/>
        </w:tabs>
        <w:ind w:left="3240" w:hanging="360"/>
      </w:pPr>
      <w:rPr>
        <w:rFonts w:ascii="OpenSymbol" w:hAnsi="OpenSymbol" w:cs="OpenSymbol" w:hint="default"/>
        <w:shd w:fill="auto" w:val="clear"/>
      </w:rPr>
    </w:lvl>
    <w:lvl w:ilvl="8">
      <w:start w:val="1"/>
      <w:numFmt w:val="bullet"/>
      <w:lvlText w:val="▪"/>
      <w:lvlJc w:val="left"/>
      <w:pPr>
        <w:tabs>
          <w:tab w:val="num" w:pos="3600"/>
        </w:tabs>
        <w:ind w:left="3600" w:hanging="360"/>
      </w:pPr>
      <w:rPr>
        <w:rFonts w:ascii="OpenSymbol" w:hAnsi="OpenSymbol" w:cs="OpenSymbol" w:hint="default"/>
        <w:shd w:fill="auto" w:val="clear"/>
      </w:rPr>
    </w:lvl>
  </w:abstractNum>
  <w:abstractNum w:abstractNumId="1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w="http://schemas.openxmlformats.org/wordprocessingml/2006/main">
  <w:zoom w:percent="100"/>
  <w:embedTrueTypeFonts/>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Calibri"/>
        <w:sz w:val="22"/>
        <w:szCs w:val="22"/>
        <w:lang w:val="en-US" w:eastAsia="pt-BR" w:bidi="ar-SA"/>
      </w:rPr>
    </w:rPrDefault>
    <w:pPrDefault>
      <w:pPr>
        <w:suppressAutoHyphens w:val="true"/>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pPr>
      <w:widowControl/>
      <w:bidi w:val="0"/>
      <w:spacing w:lineRule="auto" w:line="252" w:before="0" w:after="160"/>
      <w:jc w:val="left"/>
    </w:pPr>
    <w:rPr>
      <w:rFonts w:ascii="Calibri" w:hAnsi="Calibri" w:eastAsia="Calibri" w:cs="Calibri"/>
      <w:color w:val="auto"/>
      <w:kern w:val="0"/>
      <w:sz w:val="22"/>
      <w:szCs w:val="22"/>
      <w:lang w:val="en-US" w:eastAsia="pt-BR" w:bidi="ar-SA"/>
    </w:rPr>
  </w:style>
  <w:style w:type="paragraph" w:styleId="Heading1">
    <w:name w:val="Heading 1"/>
    <w:basedOn w:val="Normal"/>
    <w:next w:val="Normal"/>
    <w:qFormat/>
    <w:pPr>
      <w:keepNext w:val="true"/>
      <w:keepLines/>
      <w:pBdr/>
      <w:spacing w:lineRule="auto" w:line="240" w:before="480" w:after="120"/>
      <w:outlineLvl w:val="0"/>
    </w:pPr>
    <w:rPr>
      <w:b/>
      <w:bCs/>
      <w:color w:val="000000"/>
      <w:sz w:val="48"/>
      <w:szCs w:val="48"/>
    </w:rPr>
  </w:style>
  <w:style w:type="paragraph" w:styleId="Heading2">
    <w:name w:val="Heading 2"/>
    <w:basedOn w:val="Normal"/>
    <w:next w:val="Normal"/>
    <w:qFormat/>
    <w:pPr>
      <w:keepNext w:val="true"/>
      <w:keepLines/>
      <w:pBdr/>
      <w:spacing w:lineRule="auto" w:line="240" w:before="360" w:after="80"/>
      <w:outlineLvl w:val="1"/>
    </w:pPr>
    <w:rPr>
      <w:b/>
      <w:bCs/>
      <w:color w:val="000000"/>
      <w:sz w:val="36"/>
      <w:szCs w:val="36"/>
    </w:rPr>
  </w:style>
  <w:style w:type="paragraph" w:styleId="Heading3">
    <w:name w:val="Heading 3"/>
    <w:basedOn w:val="Normal"/>
    <w:next w:val="Normal"/>
    <w:qFormat/>
    <w:pPr>
      <w:keepNext w:val="true"/>
      <w:keepLines/>
      <w:pBdr/>
      <w:spacing w:lineRule="auto" w:line="240" w:before="280" w:after="80"/>
      <w:outlineLvl w:val="2"/>
    </w:pPr>
    <w:rPr>
      <w:b/>
      <w:bCs/>
      <w:color w:val="000000"/>
      <w:sz w:val="28"/>
      <w:szCs w:val="28"/>
    </w:rPr>
  </w:style>
  <w:style w:type="paragraph" w:styleId="Heading4">
    <w:name w:val="Heading 4"/>
    <w:basedOn w:val="Normal"/>
    <w:next w:val="Normal"/>
    <w:qFormat/>
    <w:pPr>
      <w:keepNext w:val="true"/>
      <w:keepLines/>
      <w:pBdr/>
      <w:spacing w:lineRule="auto" w:line="240" w:before="240" w:after="40"/>
      <w:outlineLvl w:val="3"/>
    </w:pPr>
    <w:rPr>
      <w:b/>
      <w:bCs/>
      <w:color w:val="000000"/>
      <w:sz w:val="24"/>
      <w:szCs w:val="24"/>
    </w:rPr>
  </w:style>
  <w:style w:type="paragraph" w:styleId="Heading5">
    <w:name w:val="Heading 5"/>
    <w:basedOn w:val="Normal"/>
    <w:next w:val="Normal"/>
    <w:qFormat/>
    <w:pPr>
      <w:keepNext w:val="true"/>
      <w:keepLines/>
      <w:pBdr/>
      <w:spacing w:lineRule="auto" w:line="240" w:before="220" w:after="40"/>
      <w:outlineLvl w:val="4"/>
    </w:pPr>
    <w:rPr>
      <w:b/>
      <w:bCs/>
      <w:color w:val="000000"/>
    </w:rPr>
  </w:style>
  <w:style w:type="paragraph" w:styleId="Heading6">
    <w:name w:val="Heading 6"/>
    <w:basedOn w:val="Normal"/>
    <w:next w:val="Normal"/>
    <w:qFormat/>
    <w:pPr>
      <w:keepNext w:val="true"/>
      <w:keepLines/>
      <w:pBdr/>
      <w:spacing w:lineRule="auto" w:line="240" w:before="200" w:after="40"/>
      <w:outlineLvl w:val="5"/>
    </w:pPr>
    <w:rPr>
      <w:b/>
      <w:bCs/>
      <w:color w:val="000000"/>
      <w:sz w:val="20"/>
      <w:szCs w:val="20"/>
    </w:rPr>
  </w:style>
  <w:style w:type="character" w:styleId="DefaultParagraphFont" w:default="1">
    <w:name w:val="Default Paragraph Font"/>
    <w:uiPriority w:val="1"/>
    <w:semiHidden/>
    <w:unhideWhenUsed/>
    <w:qFormat/>
    <w:rPr/>
  </w:style>
  <w:style w:type="character" w:styleId="WW8Num1z0" w:customStyle="1">
    <w:name w:val="WW8Num1z0"/>
    <w:qFormat/>
    <w:rPr>
      <w:b/>
      <w:w w:val="100"/>
      <w:position w:val="0"/>
      <w:sz w:val="22"/>
      <w:sz w:val="22"/>
      <w:effect w:val="none"/>
      <w:vertAlign w:val="baseline"/>
      <w:em w:val="none"/>
    </w:rPr>
  </w:style>
  <w:style w:type="character" w:styleId="WW8Num1z1" w:customStyle="1">
    <w:name w:val="WW8Num1z1"/>
    <w:qFormat/>
    <w:rPr>
      <w:rFonts w:ascii="Times New Roman" w:hAnsi="Times New Roman" w:cs="Times New Roman"/>
      <w:b/>
      <w:w w:val="100"/>
      <w:position w:val="0"/>
      <w:sz w:val="22"/>
      <w:sz w:val="22"/>
      <w:effect w:val="none"/>
      <w:vertAlign w:val="baseline"/>
      <w:em w:val="none"/>
    </w:rPr>
  </w:style>
  <w:style w:type="character" w:styleId="WW8Num3z0" w:customStyle="1">
    <w:name w:val="WW8Num3z0"/>
    <w:qFormat/>
    <w:rPr>
      <w:rFonts w:ascii="Symbol" w:hAnsi="Symbol" w:cs="Symbol"/>
      <w:w w:val="100"/>
      <w:position w:val="0"/>
      <w:sz w:val="22"/>
      <w:sz w:val="22"/>
      <w:effect w:val="none"/>
      <w:vertAlign w:val="baseline"/>
      <w:em w:val="none"/>
    </w:rPr>
  </w:style>
  <w:style w:type="character" w:styleId="WW8Num3z1" w:customStyle="1">
    <w:name w:val="WW8Num3z1"/>
    <w:qFormat/>
    <w:rPr>
      <w:rFonts w:ascii="Courier New" w:hAnsi="Courier New" w:cs="Courier New"/>
      <w:w w:val="100"/>
      <w:position w:val="0"/>
      <w:sz w:val="22"/>
      <w:sz w:val="22"/>
      <w:effect w:val="none"/>
      <w:vertAlign w:val="baseline"/>
      <w:em w:val="none"/>
    </w:rPr>
  </w:style>
  <w:style w:type="character" w:styleId="WW8Num3z2" w:customStyle="1">
    <w:name w:val="WW8Num3z2"/>
    <w:qFormat/>
    <w:rPr>
      <w:rFonts w:ascii="Wingdings" w:hAnsi="Wingdings" w:cs="Wingdings"/>
      <w:w w:val="100"/>
      <w:position w:val="0"/>
      <w:sz w:val="22"/>
      <w:sz w:val="22"/>
      <w:effect w:val="none"/>
      <w:vertAlign w:val="baseline"/>
      <w:em w:val="none"/>
    </w:rPr>
  </w:style>
  <w:style w:type="character" w:styleId="WW8Num5z0" w:customStyle="1">
    <w:name w:val="WW8Num5z0"/>
    <w:qFormat/>
    <w:rPr>
      <w:rFonts w:ascii="Symbol" w:hAnsi="Symbol" w:cs="Symbol"/>
      <w:w w:val="100"/>
      <w:position w:val="0"/>
      <w:sz w:val="22"/>
      <w:sz w:val="22"/>
      <w:effect w:val="none"/>
      <w:vertAlign w:val="baseline"/>
      <w:em w:val="none"/>
    </w:rPr>
  </w:style>
  <w:style w:type="character" w:styleId="WW8Num6z0" w:customStyle="1">
    <w:name w:val="WW8Num6z0"/>
    <w:qFormat/>
    <w:rPr>
      <w:rFonts w:ascii="Symbol" w:hAnsi="Symbol" w:cs="Symbol"/>
      <w:w w:val="100"/>
      <w:position w:val="0"/>
      <w:sz w:val="22"/>
      <w:sz w:val="22"/>
      <w:effect w:val="none"/>
      <w:vertAlign w:val="baseline"/>
      <w:em w:val="none"/>
    </w:rPr>
  </w:style>
  <w:style w:type="character" w:styleId="WW8Num10z0" w:customStyle="1">
    <w:name w:val="WW8Num10z0"/>
    <w:qFormat/>
    <w:rPr>
      <w:rFonts w:ascii="Symbol" w:hAnsi="Symbol" w:cs="Symbol"/>
      <w:w w:val="100"/>
      <w:position w:val="0"/>
      <w:sz w:val="22"/>
      <w:sz w:val="22"/>
      <w:effect w:val="none"/>
      <w:vertAlign w:val="baseline"/>
      <w:em w:val="none"/>
    </w:rPr>
  </w:style>
  <w:style w:type="character" w:styleId="WW8Num1z2" w:customStyle="1">
    <w:name w:val="WW8Num1z2"/>
    <w:qFormat/>
    <w:rPr>
      <w:rFonts w:ascii="Wingdings" w:hAnsi="Wingdings" w:cs="Wingdings"/>
      <w:w w:val="100"/>
      <w:position w:val="0"/>
      <w:sz w:val="22"/>
      <w:sz w:val="22"/>
      <w:effect w:val="none"/>
      <w:vertAlign w:val="baseline"/>
      <w:em w:val="none"/>
    </w:rPr>
  </w:style>
  <w:style w:type="character" w:styleId="WW8Num2z0" w:customStyle="1">
    <w:name w:val="WW8Num2z0"/>
    <w:qFormat/>
    <w:rPr>
      <w:rFonts w:ascii="Times New Roman" w:hAnsi="Times New Roman" w:cs="Times New Roman"/>
      <w:w w:val="100"/>
      <w:position w:val="0"/>
      <w:sz w:val="22"/>
      <w:sz w:val="22"/>
      <w:effect w:val="none"/>
      <w:vertAlign w:val="baseline"/>
      <w:em w:val="none"/>
    </w:rPr>
  </w:style>
  <w:style w:type="character" w:styleId="WW8Num4z0" w:customStyle="1">
    <w:name w:val="WW8Num4z0"/>
    <w:qFormat/>
    <w:rPr>
      <w:w w:val="100"/>
      <w:position w:val="0"/>
      <w:sz w:val="22"/>
      <w:sz w:val="22"/>
      <w:effect w:val="none"/>
      <w:vertAlign w:val="baseline"/>
      <w:em w:val="none"/>
    </w:rPr>
  </w:style>
  <w:style w:type="character" w:styleId="WW8Num6z1" w:customStyle="1">
    <w:name w:val="WW8Num6z1"/>
    <w:qFormat/>
    <w:rPr>
      <w:rFonts w:ascii="Times New Roman" w:hAnsi="Times New Roman" w:cs="Times New Roman"/>
      <w:b/>
      <w:w w:val="100"/>
      <w:position w:val="0"/>
      <w:sz w:val="22"/>
      <w:sz w:val="22"/>
      <w:effect w:val="none"/>
      <w:vertAlign w:val="baseline"/>
      <w:em w:val="none"/>
    </w:rPr>
  </w:style>
  <w:style w:type="character" w:styleId="WW8Num7z0" w:customStyle="1">
    <w:name w:val="WW8Num7z0"/>
    <w:qFormat/>
    <w:rPr>
      <w:rFonts w:ascii="Symbol" w:hAnsi="Symbol" w:cs="Symbol"/>
      <w:color w:val="333333"/>
      <w:w w:val="100"/>
      <w:position w:val="0"/>
      <w:sz w:val="22"/>
      <w:sz w:val="22"/>
      <w:effect w:val="none"/>
      <w:vertAlign w:val="baseline"/>
      <w:em w:val="none"/>
    </w:rPr>
  </w:style>
  <w:style w:type="character" w:styleId="WW8Num7z1" w:customStyle="1">
    <w:name w:val="WW8Num7z1"/>
    <w:qFormat/>
    <w:rPr>
      <w:rFonts w:ascii="Courier New" w:hAnsi="Courier New" w:cs="Courier New"/>
      <w:w w:val="100"/>
      <w:position w:val="0"/>
      <w:sz w:val="22"/>
      <w:sz w:val="22"/>
      <w:effect w:val="none"/>
      <w:vertAlign w:val="baseline"/>
      <w:em w:val="none"/>
    </w:rPr>
  </w:style>
  <w:style w:type="character" w:styleId="WW8Num7z2" w:customStyle="1">
    <w:name w:val="WW8Num7z2"/>
    <w:qFormat/>
    <w:rPr>
      <w:rFonts w:ascii="Wingdings" w:hAnsi="Wingdings" w:cs="Wingdings"/>
      <w:w w:val="100"/>
      <w:position w:val="0"/>
      <w:sz w:val="22"/>
      <w:sz w:val="22"/>
      <w:effect w:val="none"/>
      <w:vertAlign w:val="baseline"/>
      <w:em w:val="none"/>
    </w:rPr>
  </w:style>
  <w:style w:type="character" w:styleId="WW8Num10z1" w:customStyle="1">
    <w:name w:val="WW8Num10z1"/>
    <w:qFormat/>
    <w:rPr>
      <w:rFonts w:ascii="Courier New" w:hAnsi="Courier New" w:cs="Courier New"/>
      <w:w w:val="100"/>
      <w:position w:val="0"/>
      <w:sz w:val="22"/>
      <w:sz w:val="22"/>
      <w:effect w:val="none"/>
      <w:vertAlign w:val="baseline"/>
      <w:em w:val="none"/>
    </w:rPr>
  </w:style>
  <w:style w:type="character" w:styleId="WW8Num10z2" w:customStyle="1">
    <w:name w:val="WW8Num10z2"/>
    <w:qFormat/>
    <w:rPr>
      <w:rFonts w:ascii="Wingdings" w:hAnsi="Wingdings" w:cs="Wingdings"/>
      <w:w w:val="100"/>
      <w:position w:val="0"/>
      <w:sz w:val="22"/>
      <w:sz w:val="22"/>
      <w:effect w:val="none"/>
      <w:vertAlign w:val="baseline"/>
      <w:em w:val="none"/>
    </w:rPr>
  </w:style>
  <w:style w:type="character" w:styleId="WW8Num12z0" w:customStyle="1">
    <w:name w:val="WW8Num12z0"/>
    <w:qFormat/>
    <w:rPr>
      <w:rFonts w:ascii="Symbol" w:hAnsi="Symbol" w:cs="Symbol"/>
      <w:w w:val="100"/>
      <w:position w:val="0"/>
      <w:sz w:val="22"/>
      <w:sz w:val="22"/>
      <w:effect w:val="none"/>
      <w:vertAlign w:val="baseline"/>
      <w:em w:val="none"/>
    </w:rPr>
  </w:style>
  <w:style w:type="character" w:styleId="WW8Num12z1" w:customStyle="1">
    <w:name w:val="WW8Num12z1"/>
    <w:qFormat/>
    <w:rPr>
      <w:rFonts w:ascii="Courier New" w:hAnsi="Courier New" w:cs="Courier New"/>
      <w:w w:val="100"/>
      <w:position w:val="0"/>
      <w:sz w:val="22"/>
      <w:sz w:val="22"/>
      <w:effect w:val="none"/>
      <w:vertAlign w:val="baseline"/>
      <w:em w:val="none"/>
    </w:rPr>
  </w:style>
  <w:style w:type="character" w:styleId="WW8Num12z2" w:customStyle="1">
    <w:name w:val="WW8Num12z2"/>
    <w:qFormat/>
    <w:rPr>
      <w:rFonts w:ascii="Wingdings" w:hAnsi="Wingdings" w:cs="Wingdings"/>
      <w:w w:val="100"/>
      <w:position w:val="0"/>
      <w:sz w:val="22"/>
      <w:sz w:val="22"/>
      <w:effect w:val="none"/>
      <w:vertAlign w:val="baseline"/>
      <w:em w:val="none"/>
    </w:rPr>
  </w:style>
  <w:style w:type="character" w:styleId="WW8Num13z0" w:customStyle="1">
    <w:name w:val="WW8Num13z0"/>
    <w:qFormat/>
    <w:rPr>
      <w:rFonts w:ascii="Symbol" w:hAnsi="Symbol" w:cs="Symbol"/>
      <w:w w:val="100"/>
      <w:position w:val="0"/>
      <w:sz w:val="22"/>
      <w:sz w:val="22"/>
      <w:effect w:val="none"/>
      <w:vertAlign w:val="baseline"/>
      <w:em w:val="none"/>
    </w:rPr>
  </w:style>
  <w:style w:type="character" w:styleId="WW8Num13z1" w:customStyle="1">
    <w:name w:val="WW8Num13z1"/>
    <w:qFormat/>
    <w:rPr>
      <w:rFonts w:ascii="Courier New" w:hAnsi="Courier New" w:cs="Courier New"/>
      <w:w w:val="100"/>
      <w:position w:val="0"/>
      <w:sz w:val="22"/>
      <w:sz w:val="22"/>
      <w:effect w:val="none"/>
      <w:vertAlign w:val="baseline"/>
      <w:em w:val="none"/>
    </w:rPr>
  </w:style>
  <w:style w:type="character" w:styleId="WW8Num13z2" w:customStyle="1">
    <w:name w:val="WW8Num13z2"/>
    <w:qFormat/>
    <w:rPr>
      <w:rFonts w:ascii="Wingdings" w:hAnsi="Wingdings" w:cs="Wingdings"/>
      <w:w w:val="100"/>
      <w:position w:val="0"/>
      <w:sz w:val="22"/>
      <w:sz w:val="22"/>
      <w:effect w:val="none"/>
      <w:vertAlign w:val="baseline"/>
      <w:em w:val="none"/>
    </w:rPr>
  </w:style>
  <w:style w:type="character" w:styleId="WW8Num16z0" w:customStyle="1">
    <w:name w:val="WW8Num16z0"/>
    <w:qFormat/>
    <w:rPr>
      <w:w w:val="100"/>
      <w:position w:val="0"/>
      <w:sz w:val="22"/>
      <w:sz w:val="22"/>
      <w:effect w:val="none"/>
      <w:vertAlign w:val="baseline"/>
      <w:em w:val="none"/>
    </w:rPr>
  </w:style>
  <w:style w:type="character" w:styleId="WW8Num18z0" w:customStyle="1">
    <w:name w:val="WW8Num18z0"/>
    <w:qFormat/>
    <w:rPr>
      <w:rFonts w:ascii="Symbol" w:hAnsi="Symbol" w:cs="Symbol"/>
      <w:w w:val="100"/>
      <w:position w:val="0"/>
      <w:sz w:val="22"/>
      <w:sz w:val="22"/>
      <w:effect w:val="none"/>
      <w:vertAlign w:val="baseline"/>
      <w:em w:val="none"/>
    </w:rPr>
  </w:style>
  <w:style w:type="character" w:styleId="WW8Num18z1" w:customStyle="1">
    <w:name w:val="WW8Num18z1"/>
    <w:qFormat/>
    <w:rPr>
      <w:rFonts w:ascii="Courier New" w:hAnsi="Courier New" w:cs="Courier New"/>
      <w:w w:val="100"/>
      <w:position w:val="0"/>
      <w:sz w:val="22"/>
      <w:sz w:val="22"/>
      <w:effect w:val="none"/>
      <w:vertAlign w:val="baseline"/>
      <w:em w:val="none"/>
    </w:rPr>
  </w:style>
  <w:style w:type="character" w:styleId="WW8Num18z2" w:customStyle="1">
    <w:name w:val="WW8Num18z2"/>
    <w:qFormat/>
    <w:rPr>
      <w:rFonts w:ascii="Wingdings" w:hAnsi="Wingdings" w:cs="Wingdings"/>
      <w:w w:val="100"/>
      <w:position w:val="0"/>
      <w:sz w:val="22"/>
      <w:sz w:val="22"/>
      <w:effect w:val="none"/>
      <w:vertAlign w:val="baseline"/>
      <w:em w:val="none"/>
    </w:rPr>
  </w:style>
  <w:style w:type="character" w:styleId="WW8Num2z1" w:customStyle="1">
    <w:name w:val="WW8Num2z1"/>
    <w:qFormat/>
    <w:rPr>
      <w:w w:val="100"/>
      <w:position w:val="0"/>
      <w:sz w:val="22"/>
      <w:sz w:val="22"/>
      <w:effect w:val="none"/>
      <w:vertAlign w:val="baseline"/>
      <w:em w:val="none"/>
    </w:rPr>
  </w:style>
  <w:style w:type="character" w:styleId="WW8Num2z2" w:customStyle="1">
    <w:name w:val="WW8Num2z2"/>
    <w:qFormat/>
    <w:rPr>
      <w:w w:val="100"/>
      <w:position w:val="0"/>
      <w:sz w:val="22"/>
      <w:sz w:val="22"/>
      <w:effect w:val="none"/>
      <w:vertAlign w:val="baseline"/>
      <w:em w:val="none"/>
    </w:rPr>
  </w:style>
  <w:style w:type="character" w:styleId="WW8Num2z3" w:customStyle="1">
    <w:name w:val="WW8Num2z3"/>
    <w:qFormat/>
    <w:rPr>
      <w:w w:val="100"/>
      <w:position w:val="0"/>
      <w:sz w:val="22"/>
      <w:sz w:val="22"/>
      <w:effect w:val="none"/>
      <w:vertAlign w:val="baseline"/>
      <w:em w:val="none"/>
    </w:rPr>
  </w:style>
  <w:style w:type="character" w:styleId="WW8Num2z4" w:customStyle="1">
    <w:name w:val="WW8Num2z4"/>
    <w:qFormat/>
    <w:rPr>
      <w:w w:val="100"/>
      <w:position w:val="0"/>
      <w:sz w:val="22"/>
      <w:sz w:val="22"/>
      <w:effect w:val="none"/>
      <w:vertAlign w:val="baseline"/>
      <w:em w:val="none"/>
    </w:rPr>
  </w:style>
  <w:style w:type="character" w:styleId="WW8Num2z5" w:customStyle="1">
    <w:name w:val="WW8Num2z5"/>
    <w:qFormat/>
    <w:rPr>
      <w:w w:val="100"/>
      <w:position w:val="0"/>
      <w:sz w:val="22"/>
      <w:sz w:val="22"/>
      <w:effect w:val="none"/>
      <w:vertAlign w:val="baseline"/>
      <w:em w:val="none"/>
    </w:rPr>
  </w:style>
  <w:style w:type="character" w:styleId="WW8Num2z6" w:customStyle="1">
    <w:name w:val="WW8Num2z6"/>
    <w:qFormat/>
    <w:rPr>
      <w:w w:val="100"/>
      <w:position w:val="0"/>
      <w:sz w:val="22"/>
      <w:sz w:val="22"/>
      <w:effect w:val="none"/>
      <w:vertAlign w:val="baseline"/>
      <w:em w:val="none"/>
    </w:rPr>
  </w:style>
  <w:style w:type="character" w:styleId="WW8Num2z7" w:customStyle="1">
    <w:name w:val="WW8Num2z7"/>
    <w:qFormat/>
    <w:rPr>
      <w:w w:val="100"/>
      <w:position w:val="0"/>
      <w:sz w:val="22"/>
      <w:sz w:val="22"/>
      <w:effect w:val="none"/>
      <w:vertAlign w:val="baseline"/>
      <w:em w:val="none"/>
    </w:rPr>
  </w:style>
  <w:style w:type="character" w:styleId="WW8Num2z8" w:customStyle="1">
    <w:name w:val="WW8Num2z8"/>
    <w:qFormat/>
    <w:rPr>
      <w:w w:val="100"/>
      <w:position w:val="0"/>
      <w:sz w:val="22"/>
      <w:sz w:val="22"/>
      <w:effect w:val="none"/>
      <w:vertAlign w:val="baseline"/>
      <w:em w:val="none"/>
    </w:rPr>
  </w:style>
  <w:style w:type="character" w:styleId="WW8Num4z1" w:customStyle="1">
    <w:name w:val="WW8Num4z1"/>
    <w:qFormat/>
    <w:rPr>
      <w:w w:val="100"/>
      <w:position w:val="0"/>
      <w:sz w:val="22"/>
      <w:sz w:val="22"/>
      <w:effect w:val="none"/>
      <w:vertAlign w:val="baseline"/>
      <w:em w:val="none"/>
    </w:rPr>
  </w:style>
  <w:style w:type="character" w:styleId="WW8Num4z2" w:customStyle="1">
    <w:name w:val="WW8Num4z2"/>
    <w:qFormat/>
    <w:rPr>
      <w:w w:val="100"/>
      <w:position w:val="0"/>
      <w:sz w:val="22"/>
      <w:sz w:val="22"/>
      <w:effect w:val="none"/>
      <w:vertAlign w:val="baseline"/>
      <w:em w:val="none"/>
    </w:rPr>
  </w:style>
  <w:style w:type="character" w:styleId="WW8Num4z3" w:customStyle="1">
    <w:name w:val="WW8Num4z3"/>
    <w:qFormat/>
    <w:rPr>
      <w:w w:val="100"/>
      <w:position w:val="0"/>
      <w:sz w:val="22"/>
      <w:sz w:val="22"/>
      <w:effect w:val="none"/>
      <w:vertAlign w:val="baseline"/>
      <w:em w:val="none"/>
    </w:rPr>
  </w:style>
  <w:style w:type="character" w:styleId="WW8Num4z4" w:customStyle="1">
    <w:name w:val="WW8Num4z4"/>
    <w:qFormat/>
    <w:rPr>
      <w:w w:val="100"/>
      <w:position w:val="0"/>
      <w:sz w:val="22"/>
      <w:sz w:val="22"/>
      <w:effect w:val="none"/>
      <w:vertAlign w:val="baseline"/>
      <w:em w:val="none"/>
    </w:rPr>
  </w:style>
  <w:style w:type="character" w:styleId="WW8Num4z5" w:customStyle="1">
    <w:name w:val="WW8Num4z5"/>
    <w:qFormat/>
    <w:rPr>
      <w:w w:val="100"/>
      <w:position w:val="0"/>
      <w:sz w:val="22"/>
      <w:sz w:val="22"/>
      <w:effect w:val="none"/>
      <w:vertAlign w:val="baseline"/>
      <w:em w:val="none"/>
    </w:rPr>
  </w:style>
  <w:style w:type="character" w:styleId="WW8Num4z6" w:customStyle="1">
    <w:name w:val="WW8Num4z6"/>
    <w:qFormat/>
    <w:rPr>
      <w:w w:val="100"/>
      <w:position w:val="0"/>
      <w:sz w:val="22"/>
      <w:sz w:val="22"/>
      <w:effect w:val="none"/>
      <w:vertAlign w:val="baseline"/>
      <w:em w:val="none"/>
    </w:rPr>
  </w:style>
  <w:style w:type="character" w:styleId="WW8Num4z7" w:customStyle="1">
    <w:name w:val="WW8Num4z7"/>
    <w:qFormat/>
    <w:rPr>
      <w:w w:val="100"/>
      <w:position w:val="0"/>
      <w:sz w:val="22"/>
      <w:sz w:val="22"/>
      <w:effect w:val="none"/>
      <w:vertAlign w:val="baseline"/>
      <w:em w:val="none"/>
    </w:rPr>
  </w:style>
  <w:style w:type="character" w:styleId="WW8Num4z8" w:customStyle="1">
    <w:name w:val="WW8Num4z8"/>
    <w:qFormat/>
    <w:rPr>
      <w:w w:val="100"/>
      <w:position w:val="0"/>
      <w:sz w:val="22"/>
      <w:sz w:val="22"/>
      <w:effect w:val="none"/>
      <w:vertAlign w:val="baseline"/>
      <w:em w:val="none"/>
    </w:rPr>
  </w:style>
  <w:style w:type="character" w:styleId="WW8Num5z1" w:customStyle="1">
    <w:name w:val="WW8Num5z1"/>
    <w:qFormat/>
    <w:rPr>
      <w:w w:val="100"/>
      <w:position w:val="0"/>
      <w:sz w:val="22"/>
      <w:sz w:val="22"/>
      <w:effect w:val="none"/>
      <w:vertAlign w:val="baseline"/>
      <w:em w:val="none"/>
    </w:rPr>
  </w:style>
  <w:style w:type="character" w:styleId="WW8Num5z2" w:customStyle="1">
    <w:name w:val="WW8Num5z2"/>
    <w:qFormat/>
    <w:rPr>
      <w:w w:val="100"/>
      <w:position w:val="0"/>
      <w:sz w:val="22"/>
      <w:sz w:val="22"/>
      <w:effect w:val="none"/>
      <w:vertAlign w:val="baseline"/>
      <w:em w:val="none"/>
    </w:rPr>
  </w:style>
  <w:style w:type="character" w:styleId="WW8Num5z3" w:customStyle="1">
    <w:name w:val="WW8Num5z3"/>
    <w:qFormat/>
    <w:rPr>
      <w:w w:val="100"/>
      <w:position w:val="0"/>
      <w:sz w:val="22"/>
      <w:sz w:val="22"/>
      <w:effect w:val="none"/>
      <w:vertAlign w:val="baseline"/>
      <w:em w:val="none"/>
    </w:rPr>
  </w:style>
  <w:style w:type="character" w:styleId="WW8Num5z4" w:customStyle="1">
    <w:name w:val="WW8Num5z4"/>
    <w:qFormat/>
    <w:rPr>
      <w:w w:val="100"/>
      <w:position w:val="0"/>
      <w:sz w:val="22"/>
      <w:sz w:val="22"/>
      <w:effect w:val="none"/>
      <w:vertAlign w:val="baseline"/>
      <w:em w:val="none"/>
    </w:rPr>
  </w:style>
  <w:style w:type="character" w:styleId="WW8Num5z5" w:customStyle="1">
    <w:name w:val="WW8Num5z5"/>
    <w:qFormat/>
    <w:rPr>
      <w:w w:val="100"/>
      <w:position w:val="0"/>
      <w:sz w:val="22"/>
      <w:sz w:val="22"/>
      <w:effect w:val="none"/>
      <w:vertAlign w:val="baseline"/>
      <w:em w:val="none"/>
    </w:rPr>
  </w:style>
  <w:style w:type="character" w:styleId="WW8Num5z6" w:customStyle="1">
    <w:name w:val="WW8Num5z6"/>
    <w:qFormat/>
    <w:rPr>
      <w:w w:val="100"/>
      <w:position w:val="0"/>
      <w:sz w:val="22"/>
      <w:sz w:val="22"/>
      <w:effect w:val="none"/>
      <w:vertAlign w:val="baseline"/>
      <w:em w:val="none"/>
    </w:rPr>
  </w:style>
  <w:style w:type="character" w:styleId="WW8Num5z7" w:customStyle="1">
    <w:name w:val="WW8Num5z7"/>
    <w:qFormat/>
    <w:rPr>
      <w:w w:val="100"/>
      <w:position w:val="0"/>
      <w:sz w:val="22"/>
      <w:sz w:val="22"/>
      <w:effect w:val="none"/>
      <w:vertAlign w:val="baseline"/>
      <w:em w:val="none"/>
    </w:rPr>
  </w:style>
  <w:style w:type="character" w:styleId="WW8Num5z8" w:customStyle="1">
    <w:name w:val="WW8Num5z8"/>
    <w:qFormat/>
    <w:rPr>
      <w:w w:val="100"/>
      <w:position w:val="0"/>
      <w:sz w:val="22"/>
      <w:sz w:val="22"/>
      <w:effect w:val="none"/>
      <w:vertAlign w:val="baseline"/>
      <w:em w:val="none"/>
    </w:rPr>
  </w:style>
  <w:style w:type="character" w:styleId="WW8Num6z2" w:customStyle="1">
    <w:name w:val="WW8Num6z2"/>
    <w:qFormat/>
    <w:rPr>
      <w:w w:val="100"/>
      <w:position w:val="0"/>
      <w:sz w:val="22"/>
      <w:sz w:val="22"/>
      <w:effect w:val="none"/>
      <w:vertAlign w:val="baseline"/>
      <w:em w:val="none"/>
    </w:rPr>
  </w:style>
  <w:style w:type="character" w:styleId="WW8Num6z3" w:customStyle="1">
    <w:name w:val="WW8Num6z3"/>
    <w:qFormat/>
    <w:rPr>
      <w:w w:val="100"/>
      <w:position w:val="0"/>
      <w:sz w:val="22"/>
      <w:sz w:val="22"/>
      <w:effect w:val="none"/>
      <w:vertAlign w:val="baseline"/>
      <w:em w:val="none"/>
    </w:rPr>
  </w:style>
  <w:style w:type="character" w:styleId="WW8Num6z4" w:customStyle="1">
    <w:name w:val="WW8Num6z4"/>
    <w:qFormat/>
    <w:rPr>
      <w:w w:val="100"/>
      <w:position w:val="0"/>
      <w:sz w:val="22"/>
      <w:sz w:val="22"/>
      <w:effect w:val="none"/>
      <w:vertAlign w:val="baseline"/>
      <w:em w:val="none"/>
    </w:rPr>
  </w:style>
  <w:style w:type="character" w:styleId="WW8Num6z5" w:customStyle="1">
    <w:name w:val="WW8Num6z5"/>
    <w:qFormat/>
    <w:rPr>
      <w:w w:val="100"/>
      <w:position w:val="0"/>
      <w:sz w:val="22"/>
      <w:sz w:val="22"/>
      <w:effect w:val="none"/>
      <w:vertAlign w:val="baseline"/>
      <w:em w:val="none"/>
    </w:rPr>
  </w:style>
  <w:style w:type="character" w:styleId="WW8Num6z6" w:customStyle="1">
    <w:name w:val="WW8Num6z6"/>
    <w:qFormat/>
    <w:rPr>
      <w:w w:val="100"/>
      <w:position w:val="0"/>
      <w:sz w:val="22"/>
      <w:sz w:val="22"/>
      <w:effect w:val="none"/>
      <w:vertAlign w:val="baseline"/>
      <w:em w:val="none"/>
    </w:rPr>
  </w:style>
  <w:style w:type="character" w:styleId="WW8Num6z7" w:customStyle="1">
    <w:name w:val="WW8Num6z7"/>
    <w:qFormat/>
    <w:rPr>
      <w:w w:val="100"/>
      <w:position w:val="0"/>
      <w:sz w:val="22"/>
      <w:sz w:val="22"/>
      <w:effect w:val="none"/>
      <w:vertAlign w:val="baseline"/>
      <w:em w:val="none"/>
    </w:rPr>
  </w:style>
  <w:style w:type="character" w:styleId="WW8Num6z8" w:customStyle="1">
    <w:name w:val="WW8Num6z8"/>
    <w:qFormat/>
    <w:rPr>
      <w:w w:val="100"/>
      <w:position w:val="0"/>
      <w:sz w:val="22"/>
      <w:sz w:val="22"/>
      <w:effect w:val="none"/>
      <w:vertAlign w:val="baseline"/>
      <w:em w:val="none"/>
    </w:rPr>
  </w:style>
  <w:style w:type="character" w:styleId="WW8Num7z3" w:customStyle="1">
    <w:name w:val="WW8Num7z3"/>
    <w:qFormat/>
    <w:rPr>
      <w:w w:val="100"/>
      <w:position w:val="0"/>
      <w:sz w:val="22"/>
      <w:sz w:val="22"/>
      <w:effect w:val="none"/>
      <w:vertAlign w:val="baseline"/>
      <w:em w:val="none"/>
    </w:rPr>
  </w:style>
  <w:style w:type="character" w:styleId="WW8Num7z4" w:customStyle="1">
    <w:name w:val="WW8Num7z4"/>
    <w:qFormat/>
    <w:rPr>
      <w:w w:val="100"/>
      <w:position w:val="0"/>
      <w:sz w:val="22"/>
      <w:sz w:val="22"/>
      <w:effect w:val="none"/>
      <w:vertAlign w:val="baseline"/>
      <w:em w:val="none"/>
    </w:rPr>
  </w:style>
  <w:style w:type="character" w:styleId="WW8Num7z5" w:customStyle="1">
    <w:name w:val="WW8Num7z5"/>
    <w:qFormat/>
    <w:rPr>
      <w:w w:val="100"/>
      <w:position w:val="0"/>
      <w:sz w:val="22"/>
      <w:sz w:val="22"/>
      <w:effect w:val="none"/>
      <w:vertAlign w:val="baseline"/>
      <w:em w:val="none"/>
    </w:rPr>
  </w:style>
  <w:style w:type="character" w:styleId="WW8Num7z6" w:customStyle="1">
    <w:name w:val="WW8Num7z6"/>
    <w:qFormat/>
    <w:rPr>
      <w:w w:val="100"/>
      <w:position w:val="0"/>
      <w:sz w:val="22"/>
      <w:sz w:val="22"/>
      <w:effect w:val="none"/>
      <w:vertAlign w:val="baseline"/>
      <w:em w:val="none"/>
    </w:rPr>
  </w:style>
  <w:style w:type="character" w:styleId="WW8Num7z7" w:customStyle="1">
    <w:name w:val="WW8Num7z7"/>
    <w:qFormat/>
    <w:rPr>
      <w:w w:val="100"/>
      <w:position w:val="0"/>
      <w:sz w:val="22"/>
      <w:sz w:val="22"/>
      <w:effect w:val="none"/>
      <w:vertAlign w:val="baseline"/>
      <w:em w:val="none"/>
    </w:rPr>
  </w:style>
  <w:style w:type="character" w:styleId="WW8Num7z8" w:customStyle="1">
    <w:name w:val="WW8Num7z8"/>
    <w:qFormat/>
    <w:rPr>
      <w:w w:val="100"/>
      <w:position w:val="0"/>
      <w:sz w:val="22"/>
      <w:sz w:val="22"/>
      <w:effect w:val="none"/>
      <w:vertAlign w:val="baseline"/>
      <w:em w:val="none"/>
    </w:rPr>
  </w:style>
  <w:style w:type="character" w:styleId="WW8Num8z0" w:customStyle="1">
    <w:name w:val="WW8Num8z0"/>
    <w:qFormat/>
    <w:rPr>
      <w:rFonts w:ascii="Symbol" w:hAnsi="Symbol" w:cs="Symbol"/>
      <w:color w:val="333333"/>
      <w:w w:val="100"/>
      <w:position w:val="0"/>
      <w:sz w:val="22"/>
      <w:sz w:val="22"/>
      <w:effect w:val="none"/>
      <w:vertAlign w:val="baseline"/>
      <w:em w:val="none"/>
    </w:rPr>
  </w:style>
  <w:style w:type="character" w:styleId="WW8Num8z1" w:customStyle="1">
    <w:name w:val="WW8Num8z1"/>
    <w:qFormat/>
    <w:rPr>
      <w:rFonts w:ascii="Courier New" w:hAnsi="Courier New" w:cs="Courier New"/>
      <w:w w:val="100"/>
      <w:position w:val="0"/>
      <w:sz w:val="22"/>
      <w:sz w:val="22"/>
      <w:effect w:val="none"/>
      <w:vertAlign w:val="baseline"/>
      <w:em w:val="none"/>
    </w:rPr>
  </w:style>
  <w:style w:type="character" w:styleId="WW8Num8z2" w:customStyle="1">
    <w:name w:val="WW8Num8z2"/>
    <w:qFormat/>
    <w:rPr>
      <w:rFonts w:ascii="Wingdings" w:hAnsi="Wingdings" w:cs="Wingdings"/>
      <w:w w:val="100"/>
      <w:position w:val="0"/>
      <w:sz w:val="22"/>
      <w:sz w:val="22"/>
      <w:effect w:val="none"/>
      <w:vertAlign w:val="baseline"/>
      <w:em w:val="none"/>
    </w:rPr>
  </w:style>
  <w:style w:type="character" w:styleId="WW8Num9z0" w:customStyle="1">
    <w:name w:val="WW8Num9z0"/>
    <w:qFormat/>
    <w:rPr>
      <w:w w:val="100"/>
      <w:position w:val="0"/>
      <w:sz w:val="22"/>
      <w:sz w:val="22"/>
      <w:effect w:val="none"/>
      <w:vertAlign w:val="baseline"/>
      <w:em w:val="none"/>
    </w:rPr>
  </w:style>
  <w:style w:type="character" w:styleId="WW8Num9z1" w:customStyle="1">
    <w:name w:val="WW8Num9z1"/>
    <w:qFormat/>
    <w:rPr>
      <w:w w:val="100"/>
      <w:position w:val="0"/>
      <w:sz w:val="22"/>
      <w:sz w:val="22"/>
      <w:effect w:val="none"/>
      <w:vertAlign w:val="baseline"/>
      <w:em w:val="none"/>
    </w:rPr>
  </w:style>
  <w:style w:type="character" w:styleId="WW8Num9z2" w:customStyle="1">
    <w:name w:val="WW8Num9z2"/>
    <w:qFormat/>
    <w:rPr>
      <w:w w:val="100"/>
      <w:position w:val="0"/>
      <w:sz w:val="22"/>
      <w:sz w:val="22"/>
      <w:effect w:val="none"/>
      <w:vertAlign w:val="baseline"/>
      <w:em w:val="none"/>
    </w:rPr>
  </w:style>
  <w:style w:type="character" w:styleId="WW8Num9z3" w:customStyle="1">
    <w:name w:val="WW8Num9z3"/>
    <w:qFormat/>
    <w:rPr>
      <w:w w:val="100"/>
      <w:position w:val="0"/>
      <w:sz w:val="22"/>
      <w:sz w:val="22"/>
      <w:effect w:val="none"/>
      <w:vertAlign w:val="baseline"/>
      <w:em w:val="none"/>
    </w:rPr>
  </w:style>
  <w:style w:type="character" w:styleId="WW8Num9z4" w:customStyle="1">
    <w:name w:val="WW8Num9z4"/>
    <w:qFormat/>
    <w:rPr>
      <w:w w:val="100"/>
      <w:position w:val="0"/>
      <w:sz w:val="22"/>
      <w:sz w:val="22"/>
      <w:effect w:val="none"/>
      <w:vertAlign w:val="baseline"/>
      <w:em w:val="none"/>
    </w:rPr>
  </w:style>
  <w:style w:type="character" w:styleId="WW8Num9z5" w:customStyle="1">
    <w:name w:val="WW8Num9z5"/>
    <w:qFormat/>
    <w:rPr>
      <w:w w:val="100"/>
      <w:position w:val="0"/>
      <w:sz w:val="22"/>
      <w:sz w:val="22"/>
      <w:effect w:val="none"/>
      <w:vertAlign w:val="baseline"/>
      <w:em w:val="none"/>
    </w:rPr>
  </w:style>
  <w:style w:type="character" w:styleId="WW8Num9z6" w:customStyle="1">
    <w:name w:val="WW8Num9z6"/>
    <w:qFormat/>
    <w:rPr>
      <w:w w:val="100"/>
      <w:position w:val="0"/>
      <w:sz w:val="22"/>
      <w:sz w:val="22"/>
      <w:effect w:val="none"/>
      <w:vertAlign w:val="baseline"/>
      <w:em w:val="none"/>
    </w:rPr>
  </w:style>
  <w:style w:type="character" w:styleId="WW8Num9z7" w:customStyle="1">
    <w:name w:val="WW8Num9z7"/>
    <w:qFormat/>
    <w:rPr>
      <w:w w:val="100"/>
      <w:position w:val="0"/>
      <w:sz w:val="22"/>
      <w:sz w:val="22"/>
      <w:effect w:val="none"/>
      <w:vertAlign w:val="baseline"/>
      <w:em w:val="none"/>
    </w:rPr>
  </w:style>
  <w:style w:type="character" w:styleId="WW8Num9z8" w:customStyle="1">
    <w:name w:val="WW8Num9z8"/>
    <w:qFormat/>
    <w:rPr>
      <w:w w:val="100"/>
      <w:position w:val="0"/>
      <w:sz w:val="22"/>
      <w:sz w:val="22"/>
      <w:effect w:val="none"/>
      <w:vertAlign w:val="baseline"/>
      <w:em w:val="none"/>
    </w:rPr>
  </w:style>
  <w:style w:type="character" w:styleId="Fontepargpadro1" w:customStyle="1">
    <w:name w:val="Fonte parág. padrão1"/>
    <w:qFormat/>
    <w:rPr>
      <w:w w:val="100"/>
      <w:position w:val="0"/>
      <w:sz w:val="22"/>
      <w:sz w:val="22"/>
      <w:effect w:val="none"/>
      <w:vertAlign w:val="baseline"/>
      <w:em w:val="none"/>
    </w:rPr>
  </w:style>
  <w:style w:type="character" w:styleId="Hyperlink">
    <w:name w:val="Hyperlink"/>
    <w:qFormat/>
    <w:rPr>
      <w:color w:val="0563C1"/>
      <w:w w:val="100"/>
      <w:position w:val="0"/>
      <w:sz w:val="22"/>
      <w:sz w:val="22"/>
      <w:u w:val="single"/>
      <w:effect w:val="none"/>
      <w:vertAlign w:val="baseline"/>
      <w:em w:val="none"/>
    </w:rPr>
  </w:style>
  <w:style w:type="character" w:styleId="MenoPendente1" w:customStyle="1">
    <w:name w:val="Menção Pendente1"/>
    <w:qFormat/>
    <w:rPr>
      <w:color w:val="605E5C"/>
      <w:w w:val="100"/>
      <w:position w:val="0"/>
      <w:sz w:val="22"/>
      <w:sz w:val="22"/>
      <w:effect w:val="none"/>
      <w:shd w:fill="E1DFDD" w:val="clear"/>
      <w:vertAlign w:val="baseline"/>
      <w:em w:val="none"/>
    </w:rPr>
  </w:style>
  <w:style w:type="character" w:styleId="CabealhoChar" w:customStyle="1">
    <w:name w:val="Cabeçalho Char"/>
    <w:basedOn w:val="Fontepargpadro1"/>
    <w:qFormat/>
    <w:rPr>
      <w:w w:val="100"/>
      <w:position w:val="0"/>
      <w:sz w:val="22"/>
      <w:sz w:val="22"/>
      <w:effect w:val="none"/>
      <w:vertAlign w:val="baseline"/>
      <w:em w:val="none"/>
    </w:rPr>
  </w:style>
  <w:style w:type="character" w:styleId="RodapChar" w:customStyle="1">
    <w:name w:val="Rodapé Char"/>
    <w:basedOn w:val="Fontepargpadro1"/>
    <w:qFormat/>
    <w:rPr>
      <w:w w:val="100"/>
      <w:position w:val="0"/>
      <w:sz w:val="22"/>
      <w:sz w:val="22"/>
      <w:effect w:val="none"/>
      <w:vertAlign w:val="baseline"/>
      <w:em w:val="none"/>
    </w:rPr>
  </w:style>
  <w:style w:type="character" w:styleId="TextodebaloChar" w:customStyle="1">
    <w:name w:val="Texto de balão Char"/>
    <w:qFormat/>
    <w:rPr>
      <w:rFonts w:ascii="Tahoma" w:hAnsi="Tahoma" w:cs="Tahoma"/>
      <w:w w:val="100"/>
      <w:position w:val="0"/>
      <w:sz w:val="16"/>
      <w:sz w:val="16"/>
      <w:szCs w:val="16"/>
      <w:effect w:val="none"/>
      <w:vertAlign w:val="baseline"/>
      <w:em w:val="none"/>
    </w:rPr>
  </w:style>
  <w:style w:type="character" w:styleId="Strong">
    <w:name w:val="Strong"/>
    <w:qFormat/>
    <w:rPr>
      <w:b/>
      <w:bCs/>
      <w:w w:val="100"/>
      <w:position w:val="0"/>
      <w:sz w:val="22"/>
      <w:sz w:val="22"/>
      <w:effect w:val="none"/>
      <w:vertAlign w:val="baseline"/>
      <w:em w:val="none"/>
    </w:rPr>
  </w:style>
  <w:style w:type="character" w:styleId="Smbolosdenumerao" w:customStyle="1">
    <w:name w:val="Símbolos de numeração"/>
    <w:qFormat/>
    <w:rPr>
      <w:w w:val="100"/>
      <w:position w:val="0"/>
      <w:sz w:val="22"/>
      <w:sz w:val="22"/>
      <w:effect w:val="none"/>
      <w:vertAlign w:val="baseline"/>
      <w:em w:val="none"/>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1"/>
    <w:qFormat/>
    <w:pPr>
      <w:spacing w:lineRule="auto" w:line="276" w:before="0" w:after="140"/>
      <w:textAlignment w:val="top"/>
      <w:outlineLvl w:val="0"/>
    </w:pPr>
    <w:rPr>
      <w:kern w:val="2"/>
      <w:vertAlign w:val="subscript"/>
      <w:lang w:val="pt-BR"/>
    </w:rPr>
  </w:style>
  <w:style w:type="paragraph" w:styleId="List">
    <w:name w:val="List"/>
    <w:basedOn w:val="BodyText"/>
    <w:qFormat/>
    <w:pPr/>
    <w:rPr>
      <w:rFonts w:cs="Arial"/>
      <w:position w:val="-1"/>
    </w:rPr>
  </w:style>
  <w:style w:type="paragraph" w:styleId="Caption">
    <w:name w:val="Caption"/>
    <w:basedOn w:val="Normal"/>
    <w:qFormat/>
    <w:pPr>
      <w:suppressLineNumbers/>
      <w:spacing w:before="120" w:after="120"/>
    </w:pPr>
    <w:rPr>
      <w:rFonts w:cs="Arial"/>
      <w:i/>
      <w:iCs/>
      <w:sz w:val="24"/>
      <w:szCs w:val="24"/>
    </w:rPr>
  </w:style>
  <w:style w:type="paragraph" w:styleId="Ndice" w:customStyle="1">
    <w:name w:val="Índice"/>
    <w:basedOn w:val="Normal1"/>
    <w:qFormat/>
    <w:pPr>
      <w:suppressLineNumbers/>
      <w:textAlignment w:val="top"/>
      <w:outlineLvl w:val="0"/>
    </w:pPr>
    <w:rPr>
      <w:rFonts w:cs="Arial"/>
      <w:kern w:val="2"/>
      <w:position w:val="-1"/>
      <w:lang w:val="pt-BR"/>
    </w:rPr>
  </w:style>
  <w:style w:type="paragraph" w:styleId="Title">
    <w:name w:val="Title"/>
    <w:basedOn w:val="Normal"/>
    <w:next w:val="Normal"/>
    <w:qFormat/>
    <w:pPr>
      <w:keepNext w:val="true"/>
      <w:keepLines/>
      <w:pBdr/>
      <w:spacing w:lineRule="auto" w:line="240" w:before="480" w:after="120"/>
    </w:pPr>
    <w:rPr>
      <w:b/>
      <w:bCs/>
      <w:color w:val="000000"/>
      <w:sz w:val="72"/>
      <w:szCs w:val="72"/>
    </w:rPr>
  </w:style>
  <w:style w:type="paragraph" w:styleId="Caption1">
    <w:name w:val="caption1"/>
    <w:basedOn w:val="Normal1"/>
    <w:qFormat/>
    <w:pPr>
      <w:suppressLineNumbers/>
      <w:spacing w:before="120" w:after="120"/>
      <w:textAlignment w:val="top"/>
      <w:outlineLvl w:val="0"/>
    </w:pPr>
    <w:rPr>
      <w:rFonts w:cs="Arial"/>
      <w:i/>
      <w:iCs/>
      <w:kern w:val="2"/>
      <w:position w:val="-1"/>
      <w:sz w:val="24"/>
      <w:szCs w:val="24"/>
      <w:lang w:val="pt-BR"/>
    </w:rPr>
  </w:style>
  <w:style w:type="paragraph" w:styleId="Normal1" w:customStyle="1">
    <w:name w:val="normal1"/>
    <w:qFormat/>
    <w:pPr>
      <w:widowControl/>
      <w:bidi w:val="0"/>
      <w:spacing w:lineRule="auto" w:line="252" w:before="0" w:after="160"/>
      <w:jc w:val="left"/>
    </w:pPr>
    <w:rPr>
      <w:rFonts w:ascii="Calibri" w:hAnsi="Calibri" w:eastAsia="Calibri" w:cs="Calibri"/>
      <w:color w:val="auto"/>
      <w:kern w:val="0"/>
      <w:sz w:val="22"/>
      <w:szCs w:val="22"/>
      <w:lang w:val="en-US" w:eastAsia="pt-BR" w:bidi="ar-SA"/>
    </w:rPr>
  </w:style>
  <w:style w:type="paragraph" w:styleId="Caption11" w:customStyle="1">
    <w:name w:val="Caption11"/>
    <w:basedOn w:val="Normal1"/>
    <w:qFormat/>
    <w:pPr>
      <w:suppressLineNumbers/>
      <w:spacing w:before="120" w:after="120"/>
      <w:textAlignment w:val="top"/>
      <w:outlineLvl w:val="0"/>
    </w:pPr>
    <w:rPr>
      <w:rFonts w:cs="Arial"/>
      <w:i/>
      <w:iCs/>
      <w:kern w:val="2"/>
      <w:position w:val="-1"/>
      <w:sz w:val="24"/>
      <w:szCs w:val="24"/>
      <w:lang w:val="pt-BR"/>
    </w:rPr>
  </w:style>
  <w:style w:type="paragraph" w:styleId="Ttulo1" w:customStyle="1">
    <w:name w:val="Título1"/>
    <w:basedOn w:val="Normal1"/>
    <w:next w:val="BodyText"/>
    <w:qFormat/>
    <w:pPr>
      <w:keepNext w:val="true"/>
      <w:spacing w:before="240" w:after="120"/>
      <w:textAlignment w:val="top"/>
      <w:outlineLvl w:val="0"/>
    </w:pPr>
    <w:rPr>
      <w:rFonts w:ascii="Liberation Sans" w:hAnsi="Liberation Sans" w:eastAsia="Microsoft YaHei" w:cs="Arial"/>
      <w:kern w:val="2"/>
      <w:position w:val="-1"/>
      <w:sz w:val="28"/>
      <w:szCs w:val="28"/>
      <w:lang w:val="pt-BR"/>
    </w:rPr>
  </w:style>
  <w:style w:type="paragraph" w:styleId="ListParagraph">
    <w:name w:val="List Paragraph"/>
    <w:basedOn w:val="Normal1"/>
    <w:qFormat/>
    <w:pPr>
      <w:spacing w:before="0" w:after="160"/>
      <w:ind w:left="720"/>
      <w:contextualSpacing/>
      <w:textAlignment w:val="top"/>
      <w:outlineLvl w:val="0"/>
    </w:pPr>
    <w:rPr>
      <w:kern w:val="2"/>
      <w:position w:val="-1"/>
      <w:lang w:val="pt-BR"/>
    </w:rPr>
  </w:style>
  <w:style w:type="paragraph" w:styleId="CabealhoeRodap" w:customStyle="1">
    <w:name w:val="Cabeçalho e Rodapé"/>
    <w:basedOn w:val="Normal1"/>
    <w:qFormat/>
    <w:pPr>
      <w:textAlignment w:val="top"/>
      <w:outlineLvl w:val="0"/>
    </w:pPr>
    <w:rPr>
      <w:kern w:val="2"/>
      <w:position w:val="-1"/>
      <w:lang w:val="pt-BR"/>
    </w:rPr>
  </w:style>
  <w:style w:type="paragraph" w:styleId="Header">
    <w:name w:val="Header"/>
    <w:basedOn w:val="Normal1"/>
    <w:qFormat/>
    <w:pPr>
      <w:spacing w:lineRule="auto" w:line="240" w:before="0" w:after="0"/>
      <w:textAlignment w:val="top"/>
      <w:outlineLvl w:val="0"/>
    </w:pPr>
    <w:rPr>
      <w:kern w:val="2"/>
      <w:position w:val="-1"/>
      <w:lang w:val="pt-BR"/>
    </w:rPr>
  </w:style>
  <w:style w:type="paragraph" w:styleId="Footer">
    <w:name w:val="Footer"/>
    <w:basedOn w:val="Normal1"/>
    <w:qFormat/>
    <w:pPr>
      <w:spacing w:lineRule="auto" w:line="240" w:before="0" w:after="0"/>
      <w:textAlignment w:val="top"/>
      <w:outlineLvl w:val="0"/>
    </w:pPr>
    <w:rPr>
      <w:kern w:val="2"/>
      <w:position w:val="-1"/>
      <w:lang w:val="pt-BR"/>
    </w:rPr>
  </w:style>
  <w:style w:type="paragraph" w:styleId="Contedodoquadro" w:customStyle="1">
    <w:name w:val="Conteúdo do quadro"/>
    <w:basedOn w:val="Normal1"/>
    <w:qFormat/>
    <w:pPr>
      <w:textAlignment w:val="top"/>
      <w:outlineLvl w:val="0"/>
    </w:pPr>
    <w:rPr>
      <w:color w:val="00000A"/>
      <w:kern w:val="2"/>
      <w:position w:val="-1"/>
      <w:lang w:val="pt-BR"/>
    </w:rPr>
  </w:style>
  <w:style w:type="paragraph" w:styleId="TableParagraph" w:customStyle="1">
    <w:name w:val="Table Paragraph"/>
    <w:basedOn w:val="Normal1"/>
    <w:qFormat/>
    <w:pPr>
      <w:widowControl w:val="false"/>
      <w:spacing w:lineRule="auto" w:line="240" w:before="0" w:after="0"/>
      <w:textAlignment w:val="top"/>
      <w:outlineLvl w:val="0"/>
    </w:pPr>
    <w:rPr>
      <w:kern w:val="2"/>
      <w:position w:val="-1"/>
      <w:lang w:val="pt-PT"/>
    </w:rPr>
  </w:style>
  <w:style w:type="paragraph" w:styleId="Contedodatabela" w:customStyle="1">
    <w:name w:val="Conteúdo da tabela"/>
    <w:basedOn w:val="Normal1"/>
    <w:qFormat/>
    <w:pPr>
      <w:widowControl w:val="false"/>
      <w:suppressLineNumbers/>
      <w:textAlignment w:val="top"/>
      <w:outlineLvl w:val="0"/>
    </w:pPr>
    <w:rPr>
      <w:kern w:val="2"/>
      <w:position w:val="-1"/>
      <w:lang w:val="pt-BR"/>
    </w:rPr>
  </w:style>
  <w:style w:type="paragraph" w:styleId="BalloonText">
    <w:name w:val="Balloon Text"/>
    <w:basedOn w:val="Normal1"/>
    <w:qFormat/>
    <w:pPr>
      <w:spacing w:lineRule="auto" w:line="240" w:before="0" w:after="0"/>
      <w:textAlignment w:val="top"/>
      <w:outlineLvl w:val="0"/>
    </w:pPr>
    <w:rPr>
      <w:rFonts w:ascii="Tahoma" w:hAnsi="Tahoma" w:cs="Tahoma"/>
      <w:kern w:val="2"/>
      <w:position w:val="-1"/>
      <w:sz w:val="16"/>
      <w:szCs w:val="16"/>
      <w:lang w:val="pt-BR"/>
    </w:rPr>
  </w:style>
  <w:style w:type="paragraph" w:styleId="NormalWeb">
    <w:name w:val="Normal (Web)"/>
    <w:basedOn w:val="Normal1"/>
    <w:qFormat/>
    <w:pPr>
      <w:spacing w:lineRule="auto" w:line="240" w:before="280" w:after="280"/>
      <w:textAlignment w:val="top"/>
      <w:outlineLvl w:val="0"/>
    </w:pPr>
    <w:rPr>
      <w:rFonts w:ascii="Times New Roman" w:hAnsi="Times New Roman" w:eastAsia="Times New Roman" w:cs="Times New Roman"/>
      <w:kern w:val="2"/>
      <w:position w:val="-1"/>
      <w:sz w:val="24"/>
      <w:szCs w:val="24"/>
      <w:lang w:val="pt-BR"/>
    </w:rPr>
  </w:style>
  <w:style w:type="paragraph" w:styleId="Ttulodetabela" w:customStyle="1">
    <w:name w:val="Título de tabela"/>
    <w:basedOn w:val="Contedodatabela"/>
    <w:qFormat/>
    <w:pPr>
      <w:jc w:val="center"/>
    </w:pPr>
    <w:rPr>
      <w:b/>
      <w:bCs/>
    </w:rPr>
  </w:style>
  <w:style w:type="paragraph" w:styleId="Western" w:customStyle="1">
    <w:name w:val="western"/>
    <w:basedOn w:val="Normal1"/>
    <w:qFormat/>
    <w:pPr>
      <w:spacing w:before="280" w:after="119"/>
      <w:textAlignment w:val="top"/>
      <w:outlineLvl w:val="0"/>
    </w:pPr>
    <w:rPr>
      <w:kern w:val="2"/>
      <w:position w:val="-1"/>
      <w:sz w:val="24"/>
      <w:szCs w:val="24"/>
      <w:lang w:val="pt-BR"/>
    </w:rPr>
  </w:style>
  <w:style w:type="paragraph" w:styleId="Subtitle">
    <w:name w:val="Subtitle"/>
    <w:basedOn w:val="Normal"/>
    <w:next w:val="Normal"/>
    <w:qFormat/>
    <w:pPr>
      <w:keepNext w:val="true"/>
      <w:keepLines/>
      <w:pBdr/>
      <w:spacing w:lineRule="auto" w:line="240" w:before="360" w:after="80"/>
    </w:pPr>
    <w:rPr>
      <w:rFonts w:ascii="Georgia" w:hAnsi="Georgia" w:eastAsia="Georgia" w:cs="Georgia"/>
      <w:i/>
      <w:iCs/>
      <w:color w:val="666666"/>
      <w:sz w:val="48"/>
      <w:szCs w:val="48"/>
    </w:rPr>
  </w:style>
  <w:style w:type="paragraph" w:styleId="Standard" w:customStyle="1">
    <w:name w:val="Standard"/>
    <w:qFormat/>
    <w:rsid w:val="002d49c6"/>
    <w:pPr>
      <w:widowControl/>
      <w:suppressAutoHyphens w:val="true"/>
      <w:bidi w:val="0"/>
      <w:spacing w:lineRule="auto" w:line="240" w:before="0" w:after="0"/>
      <w:jc w:val="left"/>
      <w:textAlignment w:val="baseline"/>
    </w:pPr>
    <w:rPr>
      <w:rFonts w:ascii="Liberation Serif" w:hAnsi="Liberation Serif" w:eastAsia="NSimSun" w:cs="Arial Unicode MS"/>
      <w:color w:val="auto"/>
      <w:kern w:val="2"/>
      <w:sz w:val="24"/>
      <w:szCs w:val="24"/>
      <w:lang w:val="pt-BR" w:eastAsia="zh-CN" w:bidi="hi-IN"/>
    </w:rPr>
  </w:style>
  <w:style w:type="numbering" w:styleId="NoList" w:default="1">
    <w:name w:val="No List"/>
    <w:uiPriority w:val="99"/>
    <w:semiHidden/>
    <w:unhideWhenUsed/>
    <w:qFormat/>
  </w:style>
  <w:style w:type="table" w:default="1" w:styleId="Tabelanormal">
    <w:name w:val="Normal Table"/>
    <w:uiPriority w:val="99"/>
    <w:semiHidden/>
    <w:unhideWhenUsed/>
    <w:tblPr>
      <w:tblCellMar>
        <w:top w:w="0" w:type="dxa"/>
        <w:left w:w="108" w:type="dxa"/>
        <w:bottom w:w="0" w:type="dxa"/>
        <w:right w:w="108" w:type="dxa"/>
      </w:tblCellMar>
    </w:tblPr>
  </w:style>
  <w:style w:type="table" w:customStyle="1" w:styleId="TableNormal">
    <w:name w:val="TableNormal"/>
    <w:tblPr>
      <w:tblCellMar>
        <w:top w:w="100" w:type="dxa"/>
        <w:left w:w="100" w:type="dxa"/>
        <w:bottom w:w="100" w:type="dxa"/>
        <w:right w:w="100" w:type="dxa"/>
      </w:tblCellMar>
    </w:tblPr>
  </w:style>
  <w:style w:type="table" w:customStyle="1" w:styleId="TableNormal0">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www.agu.gov.br/econfont" TargetMode="External"/><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header" Target="header3.xml"/><Relationship Id="rId6" Type="http://schemas.openxmlformats.org/officeDocument/2006/relationships/footer" Target="footer1.xml"/><Relationship Id="rId7" Type="http://schemas.openxmlformats.org/officeDocument/2006/relationships/footer" Target="footer2.xml"/><Relationship Id="rId8" Type="http://schemas.openxmlformats.org/officeDocument/2006/relationships/footer" Target="footer3.xml"/><Relationship Id="rId9" Type="http://schemas.openxmlformats.org/officeDocument/2006/relationships/numbering" Target="numbering.xml"/><Relationship Id="rId10" Type="http://schemas.openxmlformats.org/officeDocument/2006/relationships/fontTable" Target="fontTable.xml"/><Relationship Id="rId11" Type="http://schemas.openxmlformats.org/officeDocument/2006/relationships/settings" Target="settings.xml"/><Relationship Id="rId12" Type="http://schemas.openxmlformats.org/officeDocument/2006/relationships/theme" Target="theme/theme1.xml"/><Relationship Id="rId13" Type="http://schemas.openxmlformats.org/officeDocument/2006/relationships/customXml" Target="../customXml/item1.xml"/><Relationship Id="rId14" Type="http://schemas.openxmlformats.org/officeDocument/2006/relationships/customXml" Target="../customXml/item2.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Relationship Id="rId29" Type="http://schemas.openxmlformats.org/officeDocument/2006/relationships/font" Target="fonts/font29.odttf"/><Relationship Id="rId30" Type="http://schemas.openxmlformats.org/officeDocument/2006/relationships/font" Target="fonts/font30.odttf"/>
</Relationships>
</file>

<file path=word/_rels/header2.xml.rels><?xml version="1.0" encoding="UTF-8"?>
<Relationships xmlns="http://schemas.openxmlformats.org/package/2006/relationships"><Relationship Id="rId1" Type="http://schemas.openxmlformats.org/officeDocument/2006/relationships/image" Target="media/image1.png"/>
</Relationships>
</file>

<file path=word/_rels/header3.xml.rels><?xml version="1.0" encoding="UTF-8"?>
<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roundtripDataSignature="AMtx7mj2tBwJvZjzJopQ2jAOtZMDXfET2g==">CgMxLjAyDmguMW45bmVtMnZqNWN2Mg5oLjJzZXRpMzk5Mm52aDgAciExNFN5WmdGY3g3RWV6WlBIdUt3X3RfUXR2aTVjNVA3Tzc=</go:docsCustomData>
</go:gDocsCustomXmlDataStorage>
</file>

<file path=customXml/itemProps1.xml><?xml version="1.0" encoding="utf-8"?>
<ds:datastoreItem xmlns:ds="http://schemas.openxmlformats.org/officeDocument/2006/customXml" ds:itemID="{A6EFD41C-FA5E-4E9C-A787-E21D78186E53}">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274</TotalTime>
  <Application>LibreOffice/24.2.3.2$Windows_X86_64 LibreOffice_project/433d9c2ded56988e8a90e6b2e771ee4e6a5ab2ba</Application>
  <AppVersion>15.0000</AppVersion>
  <Pages>13</Pages>
  <Words>4957</Words>
  <Characters>29090</Characters>
  <CharactersWithSpaces>33850</CharactersWithSpaces>
  <Paragraphs>255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2025-02-13T15:27:00Z</dcterms:created>
  <dc:creator>Sileide Nascimento</dc:creator>
  <dc:description/>
  <dc:language>pt-BR</dc:language>
  <cp:lastModifiedBy/>
  <cp:lastPrinted>2026-03-19T11:56:18Z</cp:lastPrinted>
  <dcterms:modified xsi:type="dcterms:W3CDTF">2026-03-19T11:57:53Z</dcterms:modified>
  <cp:revision>47</cp:revision>
  <dc:subject/>
  <dc:title/>
</cp:coreProperties>
</file>

<file path=docProps/custom.xml><?xml version="1.0" encoding="utf-8"?>
<Properties xmlns="http://schemas.openxmlformats.org/officeDocument/2006/custom-properties" xmlns:vt="http://schemas.openxmlformats.org/officeDocument/2006/docPropsVTypes"/>
</file>